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8"/>
              <w:right w:val="none" w:color="FFFFFF" w:sz="0"/>
            </w:tcBorders>
            <w:shd w:fill="2E7D32" w:val="clear"/>
            <w:tcMar>
              <w:top w:type="dxa" w:w="320"/>
              <w:left w:type="dxa" w:w="280"/>
              <w:bottom w:type="dxa" w:w="320"/>
              <w:right w:type="dxa" w:w="280"/>
            </w:tcMar>
          </w:tcPr>
          <w:p>
            <w:pPr>
              <w:spacing w:after="60"/>
            </w:pPr>
            <w:r>
              <w:rPr>
                <w:rFonts w:ascii="Calibri" w:cs="Calibri" w:eastAsia="Calibri" w:hAnsi="Calibri"/>
                <w:b/>
                <w:bCs/>
                <w:color w:val="FFFFFF"/>
                <w:spacing w:val="40"/>
                <w:sz w:val="18"/>
                <w:szCs w:val="18"/>
              </w:rPr>
              <w:t xml:space="preserve">ISSUE 4  •  2026  •  SEED SERIES</w:t>
            </w:r>
          </w:p>
          <w:p>
            <w:pPr>
              <w:spacing w:after="80"/>
            </w:pPr>
            <w:r>
              <w:rPr>
                <w:rFonts w:ascii="Calibri" w:cs="Calibri" w:eastAsia="Calibri" w:hAnsi="Calibri"/>
                <w:b/>
                <w:bCs/>
                <w:color w:val="FFFFFF"/>
                <w:sz w:val="44"/>
                <w:szCs w:val="44"/>
              </w:rPr>
              <w:t xml:space="preserve">Oilseeds</w:t>
            </w:r>
          </w:p>
          <w:p>
            <w:r>
              <w:rPr>
                <w:rFonts w:ascii="Calibri" w:cs="Calibri" w:eastAsia="Calibri" w:hAnsi="Calibri"/>
                <w:i/>
                <w:iCs/>
                <w:color w:val="FFFFFF"/>
                <w:sz w:val="24"/>
                <w:szCs w:val="24"/>
              </w:rPr>
              <w:t xml:space="preserve">The six oilseeds that decide East Africa’s edible-oil bill and its industrial future</w:t>
            </w:r>
          </w:p>
        </w:tc>
      </w:tr>
    </w:tbl>
    <w:p>
      <w:r>
        <w:t xml:space="preserve"/>
      </w:r>
    </w:p>
    <w:p>
      <w:pPr>
        <w:spacing w:after="120" w:line="300"/>
      </w:pPr>
      <w:r>
        <w:rPr>
          <w:rFonts w:ascii="Calibri" w:cs="Calibri" w:eastAsia="Calibri" w:hAnsi="Calibri"/>
          <w:color w:val="5F6263"/>
          <w:sz w:val="20"/>
          <w:szCs w:val="20"/>
        </w:rPr>
        <w:t xml:space="preserve">Published by </w:t>
      </w:r>
      <w:r>
        <w:rPr>
          <w:rFonts w:ascii="Calibri" w:cs="Calibri" w:eastAsia="Calibri" w:hAnsi="Calibri"/>
          <w:b/>
          <w:bCs/>
          <w:color w:val="2E7D32"/>
          <w:sz w:val="20"/>
          <w:szCs w:val="20"/>
        </w:rPr>
        <w:t xml:space="preserve">Kilimokwanza.org</w:t>
      </w:r>
      <w:r>
        <w:rPr>
          <w:rFonts w:ascii="Calibri" w:cs="Calibri" w:eastAsia="Calibri" w:hAnsi="Calibri"/>
          <w:color w:val="5F6263"/>
          <w:sz w:val="20"/>
          <w:szCs w:val="20"/>
        </w:rPr>
        <w:t xml:space="preserve">  |  Region: Kenya, Tanzania, Uganda, Rwanda, Burundi  |  Crops covered: Sunflower, Sesame, Canola, Cottonseed, Linseed, Castor</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introduction</w:t>
      </w:r>
    </w:p>
    <w:p>
      <w:pPr>
        <w:spacing w:after="120" w:line="300"/>
      </w:pPr>
      <w:r>
        <w:rPr>
          <w:rFonts w:ascii="Calibri" w:cs="Calibri" w:eastAsia="Calibri" w:hAnsi="Calibri"/>
          <w:color w:val="1B1B1B"/>
          <w:sz w:val="22"/>
          <w:szCs w:val="22"/>
        </w:rPr>
        <w:t xml:space="preserve">East Africa imports more than USD 2 billion of edible oil every year. Palm oil from Malaysia and Indonesia dominates the supermarket shelf; sunflower and soya from Argentina, Russia and Ukraine fill the gap. The regional oilseed crop is one of agriculture’s clearest unfinished revolutions.</w:t>
      </w:r>
    </w:p>
    <w:p>
      <w:pPr>
        <w:spacing w:after="120" w:line="300"/>
      </w:pPr>
      <w:r>
        <w:rPr>
          <w:rFonts w:ascii="Calibri" w:cs="Calibri" w:eastAsia="Calibri" w:hAnsi="Calibri"/>
          <w:color w:val="1B1B1B"/>
          <w:sz w:val="22"/>
          <w:szCs w:val="22"/>
        </w:rPr>
        <w:t xml:space="preserve">Tanzania has shown what is possible. Singida, Dodoma and Manyara have built a smallholder sunflower-oil economy of more than 100,000 tonnes a year, supported by export tariffs on competing crude palm and a rural network of small expellers and ginneries. Soybean production in Northern Uganda and Western Kenya is the next chapter; sesame export from Lango and Lindi is the third.</w:t>
      </w:r>
    </w:p>
    <w:p>
      <w:pPr>
        <w:spacing w:after="120" w:line="300"/>
      </w:pPr>
      <w:r>
        <w:rPr>
          <w:rFonts w:ascii="Calibri" w:cs="Calibri" w:eastAsia="Calibri" w:hAnsi="Calibri"/>
          <w:color w:val="1B1B1B"/>
          <w:sz w:val="22"/>
          <w:szCs w:val="22"/>
        </w:rPr>
        <w:t xml:space="preserve">This Issue audits the seed options for the six oilseeds that matter most for East Africa’s edible-oil security and its industrial-oil ambitions: sunflower, sesame, canola, cottonseed, linseed and castor. Each is treated by variety class, by country, by realistic supply route.</w:t>
      </w:r>
    </w:p>
    <w:p>
      <w:pPr>
        <w:pStyle w:val="Heading2"/>
        <w:spacing w:after="100" w:before="220"/>
      </w:pPr>
      <w:r>
        <w:rPr>
          <w:rFonts w:ascii="Calibri" w:cs="Calibri" w:eastAsia="Calibri" w:hAnsi="Calibri"/>
          <w:b/>
          <w:bCs/>
          <w:color w:val="2E7D32"/>
          <w:sz w:val="26"/>
          <w:szCs w:val="26"/>
        </w:rPr>
        <w:t xml:space="preserve">The six oilseeds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500"/>
        <w:gridCol w:w="1500"/>
        <w:gridCol w:w="1500"/>
        <w:gridCol w:w="1620"/>
        <w:gridCol w:w="1740"/>
      </w:tblGrid>
      <w:tr>
        <w:trPr>
          <w:tblHeader/>
        </w:trPr>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Crop</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Maturity</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Smallholder</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Attainable</w:t>
            </w:r>
          </w:p>
        </w:tc>
        <w:tc>
          <w:tcPr>
            <w:tcW w:type="dxa" w:w="162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Primary use</w:t>
            </w:r>
          </w:p>
        </w:tc>
        <w:tc>
          <w:tcPr>
            <w:tcW w:type="dxa" w:w="174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Lead seed system</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Sunflower</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90–120 d</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0.8–1.2 t/ha</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2.5–3.5 t/ha</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Edible oil, cake</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ASA, Tanseed, KSC</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Sesame</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90–120 d</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0.4–0.7 t/ha</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1.2–1.8 t/ha</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Export, tahini, oil</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NaSARRI, Naliendele</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Canola</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120–150 d</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1–1.5 t/ha</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2.5–3.5 t/ha</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Edible oil import sub.</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Imported, KALRO Njoro</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Cottonseed</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150–180 d</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0.5–1 t/ha</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2–2.8 t/ha</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Lint, oil, cake</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CDO, KALRO Kibos, TCB</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Linseed</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100–130 d</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0.5–0.8 t/ha</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1.5–2 t/ha</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Health food, paint</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KALRO Njoro (limited)</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Castor</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120–180 d</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0.5–1 t/ha</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2.5–4 t/ha</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Industrial oil, polymers</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TARI Naliendele, KALRO</w:t>
            </w:r>
          </w:p>
        </w:tc>
      </w:tr>
    </w:tbl>
    <w:p>
      <w:r>
        <w:t xml:space="preserve"/>
      </w:r>
    </w:p>
    <w:p>
      <w:pPr>
        <w:spacing w:after="120" w:line="300"/>
      </w:pPr>
      <w:r>
        <w:rPr>
          <w:rFonts w:ascii="Calibri" w:cs="Calibri" w:eastAsia="Calibri" w:hAnsi="Calibri"/>
          <w:i/>
          <w:iCs/>
          <w:color w:val="5F6263"/>
          <w:sz w:val="20"/>
          <w:szCs w:val="20"/>
        </w:rPr>
        <w:t xml:space="preserve">Read across: </w:t>
      </w:r>
      <w:r>
        <w:rPr>
          <w:rFonts w:ascii="Calibri" w:cs="Calibri" w:eastAsia="Calibri" w:hAnsi="Calibri"/>
          <w:i/>
          <w:iCs/>
          <w:color w:val="5F6263"/>
          <w:sz w:val="20"/>
          <w:szCs w:val="20"/>
        </w:rPr>
        <w:t xml:space="preserve">the same yield gap repeats. East African smallholders harvest a third to a half of attainable yields. Closing the gap on existing acreage — not adding new acreage — is the largest available oilseed-supply gain.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01</w:t>
            </w:r>
          </w:p>
          <w:p>
            <w:pPr>
              <w:spacing w:after="40"/>
            </w:pPr>
            <w:r>
              <w:rPr>
                <w:rFonts w:ascii="Calibri" w:cs="Calibri" w:eastAsia="Calibri" w:hAnsi="Calibri"/>
                <w:b/>
                <w:bCs/>
                <w:color w:val="FFFFFF"/>
                <w:sz w:val="36"/>
                <w:szCs w:val="36"/>
              </w:rPr>
              <w:t xml:space="preserve">Sunflower</w:t>
            </w:r>
          </w:p>
          <w:p>
            <w:r>
              <w:rPr>
                <w:rFonts w:ascii="Calibri" w:cs="Calibri" w:eastAsia="Calibri" w:hAnsi="Calibri"/>
                <w:i/>
                <w:iCs/>
                <w:color w:val="FFFFFF"/>
                <w:sz w:val="20"/>
                <w:szCs w:val="20"/>
              </w:rPr>
              <w:t xml:space="preserve">Helianthus annuus</w:t>
            </w:r>
            <w:r>
              <w:rPr>
                <w:rFonts w:ascii="Calibri" w:cs="Calibri" w:eastAsia="Calibri" w:hAnsi="Calibri"/>
                <w:color w:val="FFFFFF"/>
                <w:sz w:val="20"/>
                <w:szCs w:val="20"/>
              </w:rPr>
              <w:t xml:space="preserve">   •   Alizeti (Sw)  •  Maua ya jua</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90–120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0.8–1.2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2.5–3.5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Central TZ (Singida, Dodoma, Manyara), Lake Zone, Western UG</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Sunflower is East Africa’s flagship oilseed and Tanzania’s biggest agricultural success story of the past decade. Singida, Dodoma, Iringa and Manyara have built a smallholder oil-pressing economy of more than 100,000 tonnes a year, with thousands of small expellers feeding local sunflower oil into rural and urban kitchens across the country.</w:t>
      </w:r>
    </w:p>
    <w:p>
      <w:pPr>
        <w:spacing w:after="120" w:line="300"/>
      </w:pPr>
      <w:r>
        <w:rPr>
          <w:rFonts w:ascii="Calibri" w:cs="Calibri" w:eastAsia="Calibri" w:hAnsi="Calibri"/>
          <w:color w:val="1B1B1B"/>
          <w:sz w:val="22"/>
          <w:szCs w:val="22"/>
        </w:rPr>
        <w:t xml:space="preserve">Tanzania has used the crop deliberately as an edible-oil import-substitution strategy, layered with export tariffs on competing crude palm oil. Kenya remains a net importer; Uganda’s Western Region (Kamwenge, Kasese, Rwenzori belt) is now scaling production rapidly under contract with Mukwano, Bidco and Mt Meru Millers.</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Open-Pollinated Varieties (OPVs): </w:t>
      </w:r>
      <w:r>
        <w:rPr>
          <w:rFonts w:ascii="Calibri" w:cs="Calibri" w:eastAsia="Calibri" w:hAnsi="Calibri"/>
          <w:color w:val="1B1B1B"/>
          <w:sz w:val="22"/>
          <w:szCs w:val="22"/>
        </w:rPr>
        <w:t xml:space="preserve">The dominant smallholder category in Tanzania. Recyclable for 2–3 seasons. Examples: Record (selected from Russian Mammoth), Kenya Fedha, Hudson, Sunbeam, Shaba.</w:t>
      </w:r>
    </w:p>
    <w:p>
      <w:pPr>
        <w:pStyle w:val="ListParagraph"/>
        <w:numPr>
          <w:ilvl w:val="0"/>
          <w:numId w:val="2"/>
        </w:numPr>
        <w:spacing w:after="80" w:line="290"/>
      </w:pPr>
      <w:r>
        <w:rPr>
          <w:rFonts w:ascii="Calibri" w:cs="Calibri" w:eastAsia="Calibri" w:hAnsi="Calibri"/>
          <w:b/>
          <w:bCs/>
          <w:color w:val="1B1B1B"/>
          <w:sz w:val="22"/>
          <w:szCs w:val="22"/>
        </w:rPr>
        <w:t xml:space="preserve">Single-Cross Hybrids (F1): </w:t>
      </w:r>
      <w:r>
        <w:rPr>
          <w:rFonts w:ascii="Calibri" w:cs="Calibri" w:eastAsia="Calibri" w:hAnsi="Calibri"/>
          <w:color w:val="1B1B1B"/>
          <w:sz w:val="22"/>
          <w:szCs w:val="22"/>
        </w:rPr>
        <w:t xml:space="preserve">Higher yield potential of 3–4 t/ha with uniform maturity, higher oil content (42–48%), and disease tolerance. Must be replanted every season. Examples: Hysun 33, Hysun 38, PAN 7351, PAN 7355, AGSUN 5103, NK Adagio.</w:t>
      </w:r>
    </w:p>
    <w:p>
      <w:pPr>
        <w:pStyle w:val="ListParagraph"/>
        <w:numPr>
          <w:ilvl w:val="0"/>
          <w:numId w:val="2"/>
        </w:numPr>
        <w:spacing w:after="80" w:line="290"/>
      </w:pPr>
      <w:r>
        <w:rPr>
          <w:rFonts w:ascii="Calibri" w:cs="Calibri" w:eastAsia="Calibri" w:hAnsi="Calibri"/>
          <w:b/>
          <w:bCs/>
          <w:color w:val="1B1B1B"/>
          <w:sz w:val="22"/>
          <w:szCs w:val="22"/>
        </w:rPr>
        <w:t xml:space="preserve">High-Oleic Hybrids: </w:t>
      </w:r>
      <w:r>
        <w:rPr>
          <w:rFonts w:ascii="Calibri" w:cs="Calibri" w:eastAsia="Calibri" w:hAnsi="Calibri"/>
          <w:color w:val="1B1B1B"/>
          <w:sz w:val="22"/>
          <w:szCs w:val="22"/>
        </w:rPr>
        <w:t xml:space="preserve">Specialty hybrids producing oil with higher monounsaturated fat content; targeted at premium edible-oil and industrial markets. Limited regional release.</w:t>
      </w:r>
    </w:p>
    <w:p>
      <w:pPr>
        <w:pStyle w:val="ListParagraph"/>
        <w:numPr>
          <w:ilvl w:val="0"/>
          <w:numId w:val="2"/>
        </w:numPr>
        <w:spacing w:after="80" w:line="290"/>
      </w:pPr>
      <w:r>
        <w:rPr>
          <w:rFonts w:ascii="Calibri" w:cs="Calibri" w:eastAsia="Calibri" w:hAnsi="Calibri"/>
          <w:b/>
          <w:bCs/>
          <w:color w:val="1B1B1B"/>
          <w:sz w:val="22"/>
          <w:szCs w:val="22"/>
        </w:rPr>
        <w:t xml:space="preserve">Confectionery Sunflower: </w:t>
      </w:r>
      <w:r>
        <w:rPr>
          <w:rFonts w:ascii="Calibri" w:cs="Calibri" w:eastAsia="Calibri" w:hAnsi="Calibri"/>
          <w:color w:val="1B1B1B"/>
          <w:sz w:val="22"/>
          <w:szCs w:val="22"/>
        </w:rPr>
        <w:t xml:space="preserve">Large striped seed for direct human consumption (snack market). Niche in East Africa; mostly imported.</w:t>
      </w:r>
    </w:p>
    <w:p>
      <w:pPr>
        <w:pStyle w:val="ListParagraph"/>
        <w:numPr>
          <w:ilvl w:val="0"/>
          <w:numId w:val="2"/>
        </w:numPr>
        <w:spacing w:after="80" w:line="290"/>
      </w:pPr>
      <w:r>
        <w:rPr>
          <w:rFonts w:ascii="Calibri" w:cs="Calibri" w:eastAsia="Calibri" w:hAnsi="Calibri"/>
          <w:b/>
          <w:bCs/>
          <w:color w:val="1B1B1B"/>
          <w:sz w:val="22"/>
          <w:szCs w:val="22"/>
        </w:rPr>
        <w:t xml:space="preserve">Quality-Declared Seed (QDS): </w:t>
      </w:r>
      <w:r>
        <w:rPr>
          <w:rFonts w:ascii="Calibri" w:cs="Calibri" w:eastAsia="Calibri" w:hAnsi="Calibri"/>
          <w:color w:val="1B1B1B"/>
          <w:sz w:val="22"/>
          <w:szCs w:val="22"/>
        </w:rPr>
        <w:t xml:space="preserve">The realistic supply route for sunflower OPVs in Tanzania, multiplied through cooperatives and contracted producer groups under contract with millers.</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Kenya Fedha, Record, Hudson, Hysun 33, Hysun 38, PAN 7351, PAN 7355, KSC Tarasiwa, AGSUN 5103.</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Record (the smallholder workhorse), Hysun 33, Hysun 38, PAN 7351, AGSUN 8251, NK Adagio, NK Kondi, Hekima, Imani.</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Sunfola, Pannar 7351, Hysun 33, NSFH-36 (Sukuma); contracted hybrids supplied via Mukwano and Mt Meru.</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Limited acreage; introductions through RAB and Bralirwa-linked oil contracts.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Limited acreage; ISABU evaluations of Tanzania-derived OPVs.</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Kenya Seed Company; FRESHCO Seeds; Pannar / Corteva; Bayer East Africa; East African Seed; Bidco Land O’Lakes.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Agricultural Seed Agency (ASA); Tanseed International; Aminata Quality Seeds; Meru Agro; Beula Seed; SeedCo Tanzania; Mt Meru Millers contract programme; Mukwano contract programme.</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NASECO; Equator Seeds; FICA Seeds; Mukwano contract growers; Mt Meru Millers (Lira).</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Win Win Agritech (limited).</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PADAP multipliers.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Sunflower is the proven model for an African edible-oil value chain: smallholder OPVs feed village expellers; contract hybrids feed industrial refiners. Both work.</w:t>
      </w:r>
    </w:p>
    <w:p>
      <w:pPr>
        <w:spacing w:after="120" w:line="300"/>
      </w:pPr>
      <w:r>
        <w:rPr>
          <w:rFonts w:ascii="Calibri" w:cs="Calibri" w:eastAsia="Calibri" w:hAnsi="Calibri"/>
          <w:color w:val="1B1B1B"/>
          <w:sz w:val="22"/>
          <w:szCs w:val="22"/>
        </w:rPr>
        <w:t xml:space="preserve">For a smallholder in Singida, Kondoa or Kamwenge, the entry point is Record OPV (or its equivalent) bought from a cooperative; for a commercial grower with mechanisation and refinery offtake, a Hysun or PAN hybrid is the rational choice. The seed-replacement discipline is what separates 1.2 t/ha from 3 t/ha.</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02</w:t>
            </w:r>
          </w:p>
          <w:p>
            <w:pPr>
              <w:spacing w:after="40"/>
            </w:pPr>
            <w:r>
              <w:rPr>
                <w:rFonts w:ascii="Calibri" w:cs="Calibri" w:eastAsia="Calibri" w:hAnsi="Calibri"/>
                <w:b/>
                <w:bCs/>
                <w:color w:val="FFFFFF"/>
                <w:sz w:val="36"/>
                <w:szCs w:val="36"/>
              </w:rPr>
              <w:t xml:space="preserve">Sesame (Simsim)</w:t>
            </w:r>
          </w:p>
          <w:p>
            <w:r>
              <w:rPr>
                <w:rFonts w:ascii="Calibri" w:cs="Calibri" w:eastAsia="Calibri" w:hAnsi="Calibri"/>
                <w:i/>
                <w:iCs/>
                <w:color w:val="FFFFFF"/>
                <w:sz w:val="20"/>
                <w:szCs w:val="20"/>
              </w:rPr>
              <w:t xml:space="preserve">Sesamum indicum</w:t>
            </w:r>
            <w:r>
              <w:rPr>
                <w:rFonts w:ascii="Calibri" w:cs="Calibri" w:eastAsia="Calibri" w:hAnsi="Calibri"/>
                <w:color w:val="FFFFFF"/>
                <w:sz w:val="20"/>
                <w:szCs w:val="20"/>
              </w:rPr>
              <w:t xml:space="preserve">   •   Ufuta (Sw)  •  Simsim (regional)</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90–120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0.4–0.7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1.2–1.8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Northern UG (Lango, Acholi), Coastal &amp; Lake Zone TZ, Coastal KE</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Sesame is East Africa’s highest-priced oilseed by farm-gate value and a structural export product. Uganda’s Northern Region — Lango, Acholi and West Nile — is the regional leader, shipping white-seeded sesame into Israel, Turkey, Greece and the Middle East for tahini, halva and bakery markets. Tanzania’s Coast, Lindi, Mtwara and Lake Zone supply a parallel export chain through Dar es Salaam.</w:t>
      </w:r>
    </w:p>
    <w:p>
      <w:pPr>
        <w:spacing w:after="120" w:line="300"/>
      </w:pPr>
      <w:r>
        <w:rPr>
          <w:rFonts w:ascii="Calibri" w:cs="Calibri" w:eastAsia="Calibri" w:hAnsi="Calibri"/>
          <w:color w:val="1B1B1B"/>
          <w:sz w:val="22"/>
          <w:szCs w:val="22"/>
        </w:rPr>
        <w:t xml:space="preserve">The crop is small-seeded, hand-harvested and unforgiving of weather at maturity — capsules shatter when wet — but its low input requirements, drought tolerance and reliable export demand make it the cash crop of choice across drier zones.</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White-Seeded Export Types: </w:t>
      </w:r>
      <w:r>
        <w:rPr>
          <w:rFonts w:ascii="Calibri" w:cs="Calibri" w:eastAsia="Calibri" w:hAnsi="Calibri"/>
          <w:color w:val="1B1B1B"/>
          <w:sz w:val="22"/>
          <w:szCs w:val="22"/>
        </w:rPr>
        <w:t xml:space="preserve">The dominant commercial class. Premium prices in Middle East, Asian and European markets. Examples: Sesim 1, Sesim 2, Sesim 3, Sesim 4 (Uganda); Lindi 02 (Tanzania); SIK-013, Mtwara 09.</w:t>
      </w:r>
    </w:p>
    <w:p>
      <w:pPr>
        <w:pStyle w:val="ListParagraph"/>
        <w:numPr>
          <w:ilvl w:val="0"/>
          <w:numId w:val="2"/>
        </w:numPr>
        <w:spacing w:after="80" w:line="290"/>
      </w:pPr>
      <w:r>
        <w:rPr>
          <w:rFonts w:ascii="Calibri" w:cs="Calibri" w:eastAsia="Calibri" w:hAnsi="Calibri"/>
          <w:b/>
          <w:bCs/>
          <w:color w:val="1B1B1B"/>
          <w:sz w:val="22"/>
          <w:szCs w:val="22"/>
        </w:rPr>
        <w:t xml:space="preserve">Brown- and Black-Seeded Types: </w:t>
      </w:r>
      <w:r>
        <w:rPr>
          <w:rFonts w:ascii="Calibri" w:cs="Calibri" w:eastAsia="Calibri" w:hAnsi="Calibri"/>
          <w:color w:val="1B1B1B"/>
          <w:sz w:val="22"/>
          <w:szCs w:val="22"/>
        </w:rPr>
        <w:t xml:space="preserve">Lower export premium but stronger nutty flavour; preferred for some bakery and confectionery markets, and for traditional dishes.</w:t>
      </w:r>
    </w:p>
    <w:p>
      <w:pPr>
        <w:pStyle w:val="ListParagraph"/>
        <w:numPr>
          <w:ilvl w:val="0"/>
          <w:numId w:val="2"/>
        </w:numPr>
        <w:spacing w:after="80" w:line="290"/>
      </w:pPr>
      <w:r>
        <w:rPr>
          <w:rFonts w:ascii="Calibri" w:cs="Calibri" w:eastAsia="Calibri" w:hAnsi="Calibri"/>
          <w:b/>
          <w:bCs/>
          <w:color w:val="1B1B1B"/>
          <w:sz w:val="22"/>
          <w:szCs w:val="22"/>
        </w:rPr>
        <w:t xml:space="preserve">Non-Shattering Varieties: </w:t>
      </w:r>
      <w:r>
        <w:rPr>
          <w:rFonts w:ascii="Calibri" w:cs="Calibri" w:eastAsia="Calibri" w:hAnsi="Calibri"/>
          <w:color w:val="1B1B1B"/>
          <w:sz w:val="22"/>
          <w:szCs w:val="22"/>
        </w:rPr>
        <w:t xml:space="preserve">Bred to retain seed in the capsule until full maturity, drastically reducing harvest loss. Critical for mechanised harvest. Limited East African release; Tanzanian and Ugandan breeders are evaluating ICRISAT and Israeli lines.</w:t>
      </w:r>
    </w:p>
    <w:p>
      <w:pPr>
        <w:pStyle w:val="ListParagraph"/>
        <w:numPr>
          <w:ilvl w:val="0"/>
          <w:numId w:val="2"/>
        </w:numPr>
        <w:spacing w:after="80" w:line="290"/>
      </w:pPr>
      <w:r>
        <w:rPr>
          <w:rFonts w:ascii="Calibri" w:cs="Calibri" w:eastAsia="Calibri" w:hAnsi="Calibri"/>
          <w:b/>
          <w:bCs/>
          <w:color w:val="1B1B1B"/>
          <w:sz w:val="22"/>
          <w:szCs w:val="22"/>
        </w:rPr>
        <w:t xml:space="preserve">Determinate Lines: </w:t>
      </w:r>
      <w:r>
        <w:rPr>
          <w:rFonts w:ascii="Calibri" w:cs="Calibri" w:eastAsia="Calibri" w:hAnsi="Calibri"/>
          <w:color w:val="1B1B1B"/>
          <w:sz w:val="22"/>
          <w:szCs w:val="22"/>
        </w:rPr>
        <w:t xml:space="preserve">Uniform maturity for single-cut harvesting. Better suited to commercial and contract farming.</w:t>
      </w:r>
    </w:p>
    <w:p>
      <w:pPr>
        <w:pStyle w:val="ListParagraph"/>
        <w:numPr>
          <w:ilvl w:val="0"/>
          <w:numId w:val="2"/>
        </w:numPr>
        <w:spacing w:after="80" w:line="290"/>
      </w:pPr>
      <w:r>
        <w:rPr>
          <w:rFonts w:ascii="Calibri" w:cs="Calibri" w:eastAsia="Calibri" w:hAnsi="Calibri"/>
          <w:b/>
          <w:bCs/>
          <w:color w:val="1B1B1B"/>
          <w:sz w:val="22"/>
          <w:szCs w:val="22"/>
        </w:rPr>
        <w:t xml:space="preserve">Quality-Declared Seed: </w:t>
      </w:r>
      <w:r>
        <w:rPr>
          <w:rFonts w:ascii="Calibri" w:cs="Calibri" w:eastAsia="Calibri" w:hAnsi="Calibri"/>
          <w:color w:val="1B1B1B"/>
          <w:sz w:val="22"/>
          <w:szCs w:val="22"/>
        </w:rPr>
        <w:t xml:space="preserve">The dominant supply route. Cooperative and exporter-led multiplication is the norm in Northern Uganda and Lindi-Mtwara.</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SIK-013, SIK-031, KARI Mtwapa-1, KARI Mtwapa-2, KARI Mtwapa-3.</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Lindi White 02, Mtwara 09, Naliendele 92, Naliendele 09, Naliendele 11, Ziada 94, Ziada 03, Lindi 02.</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Sesim 1, Sesim 2, Sesim 3, Sesim 4 (NaSARRI releases); SES-2, Sesim Pure (commercial selections).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Negligible acreage; introductions through RAB.</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Niche cultivation in Eastern Burundi; ISABU evaluations.</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KALRO Mtwapa &amp; Matuga; East African Seed; Smart Logistics Solutions; Coast-zone exporters supplying contract growers.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TARI Naliendele (the regional breeding centre); ASA; Aminata Quality Seeds; Olam Tanzania contract programme; ETG Group contract programme.</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NaSARRI Serere; NASECO; Equator Seeds; FICA Seeds; ETG Uganda contract programme; Aponye &amp; Mukwano contracted producer groups.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(limited).</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PADAP multipliers.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Sesame is the export oilseed where the African farm-gate prize is biggest — reaching USD 1,200–1,500 per tonne in tight years. The constraint is not market but seed supply, harvest-loss management and aflatoxin-style quality discipline.</w:t>
      </w:r>
    </w:p>
    <w:p>
      <w:pPr>
        <w:spacing w:after="120" w:line="300"/>
      </w:pPr>
      <w:r>
        <w:rPr>
          <w:rFonts w:ascii="Calibri" w:cs="Calibri" w:eastAsia="Calibri" w:hAnsi="Calibri"/>
          <w:color w:val="1B1B1B"/>
          <w:sz w:val="22"/>
          <w:szCs w:val="22"/>
        </w:rPr>
        <w:t xml:space="preserve">For Northern Uganda growers, NaSARRI’s Sesim series remains the public-good benchmark; contracted producers should accept the variety the exporter pays for and apply tarpaulin-based threshing to protect grain quality.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03</w:t>
            </w:r>
          </w:p>
          <w:p>
            <w:pPr>
              <w:spacing w:after="40"/>
            </w:pPr>
            <w:r>
              <w:rPr>
                <w:rFonts w:ascii="Calibri" w:cs="Calibri" w:eastAsia="Calibri" w:hAnsi="Calibri"/>
                <w:b/>
                <w:bCs/>
                <w:color w:val="FFFFFF"/>
                <w:sz w:val="36"/>
                <w:szCs w:val="36"/>
              </w:rPr>
              <w:t xml:space="preserve">Canola (Rapeseed)</w:t>
            </w:r>
          </w:p>
          <w:p>
            <w:r>
              <w:rPr>
                <w:rFonts w:ascii="Calibri" w:cs="Calibri" w:eastAsia="Calibri" w:hAnsi="Calibri"/>
                <w:i/>
                <w:iCs/>
                <w:color w:val="FFFFFF"/>
                <w:sz w:val="20"/>
                <w:szCs w:val="20"/>
              </w:rPr>
              <w:t xml:space="preserve">Brassica napus</w:t>
            </w:r>
            <w:r>
              <w:rPr>
                <w:rFonts w:ascii="Calibri" w:cs="Calibri" w:eastAsia="Calibri" w:hAnsi="Calibri"/>
                <w:color w:val="FFFFFF"/>
                <w:sz w:val="20"/>
                <w:szCs w:val="20"/>
              </w:rPr>
              <w:t xml:space="preserve">   •   Kanola / Mhaha (regional)</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120–150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1–1.5 t/ha (limited)</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2.5–3.5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Highland KE (Mau, Mt Kenya), TZ Southern Highlands (limited)</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Canola is East Africa’s strategic gap crop. The regional edible-oil import bill exceeds USD 2 billion a year, yet canola — the world’s second-largest source of vegetable oil after soybean — is grown on barely a few thousand hectares in the region.</w:t>
      </w:r>
    </w:p>
    <w:p>
      <w:pPr>
        <w:spacing w:after="120" w:line="300"/>
      </w:pPr>
      <w:r>
        <w:rPr>
          <w:rFonts w:ascii="Calibri" w:cs="Calibri" w:eastAsia="Calibri" w:hAnsi="Calibri"/>
          <w:color w:val="1B1B1B"/>
          <w:sz w:val="22"/>
          <w:szCs w:val="22"/>
        </w:rPr>
        <w:t xml:space="preserve">The crop requires cool conditions, fits highland rotations after wheat or maize, and produces oil with one of the most favourable fatty-acid profiles of any vegetable oil. The constraint is not agronomic but seed-system and market: canola requires reliable crushing infrastructure and a mature contract-farming model that East Africa is only beginning to build.</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Spring Canola (00 Type): </w:t>
      </w:r>
      <w:r>
        <w:rPr>
          <w:rFonts w:ascii="Calibri" w:cs="Calibri" w:eastAsia="Calibri" w:hAnsi="Calibri"/>
          <w:color w:val="1B1B1B"/>
          <w:sz w:val="22"/>
          <w:szCs w:val="22"/>
        </w:rPr>
        <w:t xml:space="preserve">Low-erucic-acid, low-glucosinolate hybrids — the modern food-grade canola standard. The vast majority of commercial seed is imported from South Africa, India or Europe through specialist dealers.</w:t>
      </w:r>
    </w:p>
    <w:p>
      <w:pPr>
        <w:pStyle w:val="ListParagraph"/>
        <w:numPr>
          <w:ilvl w:val="0"/>
          <w:numId w:val="2"/>
        </w:numPr>
        <w:spacing w:after="80" w:line="290"/>
      </w:pPr>
      <w:r>
        <w:rPr>
          <w:rFonts w:ascii="Calibri" w:cs="Calibri" w:eastAsia="Calibri" w:hAnsi="Calibri"/>
          <w:b/>
          <w:bCs/>
          <w:color w:val="1B1B1B"/>
          <w:sz w:val="22"/>
          <w:szCs w:val="22"/>
        </w:rPr>
        <w:t xml:space="preserve">Open-Pollinated Rapeseed: </w:t>
      </w:r>
      <w:r>
        <w:rPr>
          <w:rFonts w:ascii="Calibri" w:cs="Calibri" w:eastAsia="Calibri" w:hAnsi="Calibri"/>
          <w:color w:val="1B1B1B"/>
          <w:sz w:val="22"/>
          <w:szCs w:val="22"/>
        </w:rPr>
        <w:t xml:space="preserve">Older, higher-erucic types; some persistence in informal cultivation but unsuitable for food-grade oil and increasingly excluded from premium contracts.</w:t>
      </w:r>
    </w:p>
    <w:p>
      <w:pPr>
        <w:pStyle w:val="ListParagraph"/>
        <w:numPr>
          <w:ilvl w:val="0"/>
          <w:numId w:val="2"/>
        </w:numPr>
        <w:spacing w:after="80" w:line="290"/>
      </w:pPr>
      <w:r>
        <w:rPr>
          <w:rFonts w:ascii="Calibri" w:cs="Calibri" w:eastAsia="Calibri" w:hAnsi="Calibri"/>
          <w:b/>
          <w:bCs/>
          <w:color w:val="1B1B1B"/>
          <w:sz w:val="22"/>
          <w:szCs w:val="22"/>
        </w:rPr>
        <w:t xml:space="preserve">Industrial-Grade Rapeseed: </w:t>
      </w:r>
      <w:r>
        <w:rPr>
          <w:rFonts w:ascii="Calibri" w:cs="Calibri" w:eastAsia="Calibri" w:hAnsi="Calibri"/>
          <w:color w:val="1B1B1B"/>
          <w:sz w:val="22"/>
          <w:szCs w:val="22"/>
        </w:rPr>
        <w:t xml:space="preserve">High-erucic types for industrial lubricant and bio-fuel applications; not currently a developed market in East Africa.</w:t>
      </w:r>
    </w:p>
    <w:p>
      <w:pPr>
        <w:pStyle w:val="ListParagraph"/>
        <w:numPr>
          <w:ilvl w:val="0"/>
          <w:numId w:val="2"/>
        </w:numPr>
        <w:spacing w:after="80" w:line="290"/>
      </w:pPr>
      <w:r>
        <w:rPr>
          <w:rFonts w:ascii="Calibri" w:cs="Calibri" w:eastAsia="Calibri" w:hAnsi="Calibri"/>
          <w:b/>
          <w:bCs/>
          <w:color w:val="1B1B1B"/>
          <w:sz w:val="22"/>
          <w:szCs w:val="22"/>
        </w:rPr>
        <w:t xml:space="preserve">Hybrid Spring Canola: </w:t>
      </w:r>
      <w:r>
        <w:rPr>
          <w:rFonts w:ascii="Calibri" w:cs="Calibri" w:eastAsia="Calibri" w:hAnsi="Calibri"/>
          <w:color w:val="1B1B1B"/>
          <w:sz w:val="22"/>
          <w:szCs w:val="22"/>
        </w:rPr>
        <w:t xml:space="preserve">Higher yield potential and uniform maturity; the standard for commercial production. Examples: Hyola 76, Hyola 575CL (Clearfield), CB Atomic.</w:t>
      </w:r>
    </w:p>
    <w:p>
      <w:pPr>
        <w:pStyle w:val="ListParagraph"/>
        <w:numPr>
          <w:ilvl w:val="0"/>
          <w:numId w:val="2"/>
        </w:numPr>
        <w:spacing w:after="80" w:line="290"/>
      </w:pPr>
      <w:r>
        <w:rPr>
          <w:rFonts w:ascii="Calibri" w:cs="Calibri" w:eastAsia="Calibri" w:hAnsi="Calibri"/>
          <w:b/>
          <w:bCs/>
          <w:color w:val="1B1B1B"/>
          <w:sz w:val="22"/>
          <w:szCs w:val="22"/>
        </w:rPr>
        <w:t xml:space="preserve">Disease-Tolerant Lines: </w:t>
      </w:r>
      <w:r>
        <w:rPr>
          <w:rFonts w:ascii="Calibri" w:cs="Calibri" w:eastAsia="Calibri" w:hAnsi="Calibri"/>
          <w:color w:val="1B1B1B"/>
          <w:sz w:val="22"/>
          <w:szCs w:val="22"/>
        </w:rPr>
        <w:t xml:space="preserve">Sclerotinia stem rot and blackleg are the principal disease threats at altitude. Recent Hyola and Pioneer hybrids carry tolerance packages.</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Hyola 76, Hyola 575CL, CB Atomic, AV-Garnet, AV-Sapphire (Clearfield types); KALRO Njoro evaluation lines.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Limited commercial release; trial materials at TARI Selian.</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Negligible acreage; trials at NaSARRI.</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Negligible acreage; under RAB highland evaluation.</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Negligible acreage.</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Specialist importers (Rivatex East Africa, Bidco); KALRO Njoro for foundation/research seed; Pannar / Corteva for hybrid material; East African Seed.</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TARI Selian (research); imported through Northern Tanzania contract programmes.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Imported via specialist dealers; NaSARRI evaluation.</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(research).</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Not commercially supplied.</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Canola is the import-substitution opportunity that nobody has yet fully grasped in East Africa. The agronomic case is clear in highland Kenya, the Southern Highlands of Tanzania and parts of Rwanda; the missing piece is integrated crushing capacity and forward contracts.</w:t>
      </w:r>
    </w:p>
    <w:p>
      <w:pPr>
        <w:spacing w:after="120" w:line="300"/>
      </w:pPr>
      <w:r>
        <w:rPr>
          <w:rFonts w:ascii="Calibri" w:cs="Calibri" w:eastAsia="Calibri" w:hAnsi="Calibri"/>
          <w:color w:val="1B1B1B"/>
          <w:sz w:val="22"/>
          <w:szCs w:val="22"/>
        </w:rPr>
        <w:t xml:space="preserve">For policymakers, canola alongside soybean is the most direct lever on the regional edible-oil import bill. For farmers, canola is currently a contract-only crop — entry should follow, not precede, the establishment of a crushing offtake.</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04</w:t>
            </w:r>
          </w:p>
          <w:p>
            <w:pPr>
              <w:spacing w:after="40"/>
            </w:pPr>
            <w:r>
              <w:rPr>
                <w:rFonts w:ascii="Calibri" w:cs="Calibri" w:eastAsia="Calibri" w:hAnsi="Calibri"/>
                <w:b/>
                <w:bCs/>
                <w:color w:val="FFFFFF"/>
                <w:sz w:val="36"/>
                <w:szCs w:val="36"/>
              </w:rPr>
              <w:t xml:space="preserve">Cottonseed</w:t>
            </w:r>
          </w:p>
          <w:p>
            <w:r>
              <w:rPr>
                <w:rFonts w:ascii="Calibri" w:cs="Calibri" w:eastAsia="Calibri" w:hAnsi="Calibri"/>
                <w:i/>
                <w:iCs/>
                <w:color w:val="FFFFFF"/>
                <w:sz w:val="20"/>
                <w:szCs w:val="20"/>
              </w:rPr>
              <w:t xml:space="preserve">Gossypium hirsutum</w:t>
            </w:r>
            <w:r>
              <w:rPr>
                <w:rFonts w:ascii="Calibri" w:cs="Calibri" w:eastAsia="Calibri" w:hAnsi="Calibri"/>
                <w:color w:val="FFFFFF"/>
                <w:sz w:val="20"/>
                <w:szCs w:val="20"/>
              </w:rPr>
              <w:t xml:space="preserve">   •   Pamba / Mbegu za pamba (Sw)</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150–180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0.5–1 t/ha (seed cotton)</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2–2.8 t/ha (seed cotton)</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Lake &amp; Eastern TZ, Lango &amp; West Nile UG, Western KE (limited)</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Cottonseed is the by-product oilseed: the lint that drives ginning is the primary product, but the seed crushed for oil and animal feed is a substantial parallel value chain. Tanzania’s Lake Zone, Uganda’s Northern and West Nile regions and Western Kenya carry the largest acreages.</w:t>
      </w:r>
    </w:p>
    <w:p>
      <w:pPr>
        <w:spacing w:after="120" w:line="300"/>
      </w:pPr>
      <w:r>
        <w:rPr>
          <w:rFonts w:ascii="Calibri" w:cs="Calibri" w:eastAsia="Calibri" w:hAnsi="Calibri"/>
          <w:color w:val="1B1B1B"/>
          <w:sz w:val="22"/>
          <w:szCs w:val="22"/>
        </w:rPr>
        <w:t xml:space="preserve">Production has been in long structural decline across the region since the 1990s. Tanzania has fluctuated; Uganda’s Cotton Development Organisation has driven a steady but modest revival. The seed system is dominated by parastatal multiplication and ginnery-led delinted seed distribution.</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Conventional Upland Cotton: </w:t>
      </w:r>
      <w:r>
        <w:rPr>
          <w:rFonts w:ascii="Calibri" w:cs="Calibri" w:eastAsia="Calibri" w:hAnsi="Calibri"/>
          <w:color w:val="1B1B1B"/>
          <w:sz w:val="22"/>
          <w:szCs w:val="22"/>
        </w:rPr>
        <w:t xml:space="preserve">The dominant East African class. Bred for medium staple length and East African pest pressure. Examples: UKM 08, UK 91, UK 171, UK 134; BPA-99 (Tanzania); BPA-2002, NIAB 78.</w:t>
      </w:r>
    </w:p>
    <w:p>
      <w:pPr>
        <w:pStyle w:val="ListParagraph"/>
        <w:numPr>
          <w:ilvl w:val="0"/>
          <w:numId w:val="2"/>
        </w:numPr>
        <w:spacing w:after="80" w:line="290"/>
      </w:pPr>
      <w:r>
        <w:rPr>
          <w:rFonts w:ascii="Calibri" w:cs="Calibri" w:eastAsia="Calibri" w:hAnsi="Calibri"/>
          <w:b/>
          <w:bCs/>
          <w:color w:val="1B1B1B"/>
          <w:sz w:val="22"/>
          <w:szCs w:val="22"/>
        </w:rPr>
        <w:t xml:space="preserve">Bt Cotton (Insect-Resistant): </w:t>
      </w:r>
      <w:r>
        <w:rPr>
          <w:rFonts w:ascii="Calibri" w:cs="Calibri" w:eastAsia="Calibri" w:hAnsi="Calibri"/>
          <w:color w:val="1B1B1B"/>
          <w:sz w:val="22"/>
          <w:szCs w:val="22"/>
        </w:rPr>
        <w:t xml:space="preserve">Genetically modified for bollworm resistance. Kenya commercially released Bt cotton in 2020 and is scaling acreage in the Lake and Eastern regions; status varies by country and remains policy-sensitive elsewhere.</w:t>
      </w:r>
    </w:p>
    <w:p>
      <w:pPr>
        <w:pStyle w:val="ListParagraph"/>
        <w:numPr>
          <w:ilvl w:val="0"/>
          <w:numId w:val="2"/>
        </w:numPr>
        <w:spacing w:after="80" w:line="290"/>
      </w:pPr>
      <w:r>
        <w:rPr>
          <w:rFonts w:ascii="Calibri" w:cs="Calibri" w:eastAsia="Calibri" w:hAnsi="Calibri"/>
          <w:b/>
          <w:bCs/>
          <w:color w:val="1B1B1B"/>
          <w:sz w:val="22"/>
          <w:szCs w:val="22"/>
        </w:rPr>
        <w:t xml:space="preserve">Delinted (Acid-Treated) Seed: </w:t>
      </w:r>
      <w:r>
        <w:rPr>
          <w:rFonts w:ascii="Calibri" w:cs="Calibri" w:eastAsia="Calibri" w:hAnsi="Calibri"/>
          <w:color w:val="1B1B1B"/>
          <w:sz w:val="22"/>
          <w:szCs w:val="22"/>
        </w:rPr>
        <w:t xml:space="preserve">Cottonseed must be delinted by acid or mechanical means before planting; ginneries handle this through dedicated facilities. Planting fuzzy seed leads to poor germination.</w:t>
      </w:r>
    </w:p>
    <w:p>
      <w:pPr>
        <w:pStyle w:val="ListParagraph"/>
        <w:numPr>
          <w:ilvl w:val="0"/>
          <w:numId w:val="2"/>
        </w:numPr>
        <w:spacing w:after="80" w:line="290"/>
      </w:pPr>
      <w:r>
        <w:rPr>
          <w:rFonts w:ascii="Calibri" w:cs="Calibri" w:eastAsia="Calibri" w:hAnsi="Calibri"/>
          <w:b/>
          <w:bCs/>
          <w:color w:val="1B1B1B"/>
          <w:sz w:val="22"/>
          <w:szCs w:val="22"/>
        </w:rPr>
        <w:t xml:space="preserve">Hybrid Cotton: </w:t>
      </w:r>
      <w:r>
        <w:rPr>
          <w:rFonts w:ascii="Calibri" w:cs="Calibri" w:eastAsia="Calibri" w:hAnsi="Calibri"/>
          <w:color w:val="1B1B1B"/>
          <w:sz w:val="22"/>
          <w:szCs w:val="22"/>
        </w:rPr>
        <w:t xml:space="preserve">Higher yield potential where management is tight; limited East African commercial use. India is the model; East African ginneries are evaluating hybrid pipelines.</w:t>
      </w:r>
    </w:p>
    <w:p>
      <w:pPr>
        <w:pStyle w:val="ListParagraph"/>
        <w:numPr>
          <w:ilvl w:val="0"/>
          <w:numId w:val="2"/>
        </w:numPr>
        <w:spacing w:after="80" w:line="290"/>
      </w:pPr>
      <w:r>
        <w:rPr>
          <w:rFonts w:ascii="Calibri" w:cs="Calibri" w:eastAsia="Calibri" w:hAnsi="Calibri"/>
          <w:b/>
          <w:bCs/>
          <w:color w:val="1B1B1B"/>
          <w:sz w:val="22"/>
          <w:szCs w:val="22"/>
        </w:rPr>
        <w:t xml:space="preserve">Quality-Declared Seed: </w:t>
      </w:r>
      <w:r>
        <w:rPr>
          <w:rFonts w:ascii="Calibri" w:cs="Calibri" w:eastAsia="Calibri" w:hAnsi="Calibri"/>
          <w:color w:val="1B1B1B"/>
          <w:sz w:val="22"/>
          <w:szCs w:val="22"/>
        </w:rPr>
        <w:t xml:space="preserve">Marginal in cotton; the parastatal-and-ginnery model dominates supply.</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HART 89M (older), KSA 81M, Mahyco Bt cotton hybrids (post-2020 release); HART variants under KALRO Kibos.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UKM 08, UK 91, UK 171, BPA-2002; ginnery-supplied delinted seed through the Cotton Board of Tanzania.</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BPA-2002, BPA-99, Bukalasa Pedigree Albar (BPA series); SATU 65, NIAB 78, Albar SH 165.</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Negligible acreage.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Limited Lake Tanganyika basin cultivation; OTB-supplied seed.</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KALRO Kibos (the regional cotton research centre); Cotton Development Authority; Mahyco / Bayer (for Bt seed); contracted ginneries.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Tanzania Cotton Board; Lake Zone ginneries (Olam, Alliance, Birchand Oil); ASA; TARI Ukiriguru.</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Cotton Development Organisation (CDO); NaSARRI Serere; West Nile and Lango ginnery cooperatives; Quality Cotton Co. Uganda.</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Not commercially supplied.</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Office du Thé du Burundi / OTB; ISABU.</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Cottonseed is unique among East African oilseeds: the farmer’s primary purchase decision is about lint, not oil. Seed comes packaged with the gin’s offtake contract.</w:t>
      </w:r>
    </w:p>
    <w:p>
      <w:pPr>
        <w:spacing w:after="120" w:line="300"/>
      </w:pPr>
      <w:r>
        <w:rPr>
          <w:rFonts w:ascii="Calibri" w:cs="Calibri" w:eastAsia="Calibri" w:hAnsi="Calibri"/>
          <w:color w:val="1B1B1B"/>
          <w:sz w:val="22"/>
          <w:szCs w:val="22"/>
        </w:rPr>
        <w:t xml:space="preserve">Two structural recommendations apply. For ministries and ginnery boards, modernise the delinting and treatment chain — most of the regional yield gap traces to poor planting seed quality. For farmers, plant only delinted seed from a registered ginnery; never plant fuzzy seed scooped from a sack.</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05</w:t>
            </w:r>
          </w:p>
          <w:p>
            <w:pPr>
              <w:spacing w:after="40"/>
            </w:pPr>
            <w:r>
              <w:rPr>
                <w:rFonts w:ascii="Calibri" w:cs="Calibri" w:eastAsia="Calibri" w:hAnsi="Calibri"/>
                <w:b/>
                <w:bCs/>
                <w:color w:val="FFFFFF"/>
                <w:sz w:val="36"/>
                <w:szCs w:val="36"/>
              </w:rPr>
              <w:t xml:space="preserve">Linseed (Flaxseed)</w:t>
            </w:r>
          </w:p>
          <w:p>
            <w:r>
              <w:rPr>
                <w:rFonts w:ascii="Calibri" w:cs="Calibri" w:eastAsia="Calibri" w:hAnsi="Calibri"/>
                <w:i/>
                <w:iCs/>
                <w:color w:val="FFFFFF"/>
                <w:sz w:val="20"/>
                <w:szCs w:val="20"/>
              </w:rPr>
              <w:t xml:space="preserve">Linum usitatissimum</w:t>
            </w:r>
            <w:r>
              <w:rPr>
                <w:rFonts w:ascii="Calibri" w:cs="Calibri" w:eastAsia="Calibri" w:hAnsi="Calibri"/>
                <w:color w:val="FFFFFF"/>
                <w:sz w:val="20"/>
                <w:szCs w:val="20"/>
              </w:rPr>
              <w:t xml:space="preserve">   •   Kitani / Mbegu za kitani (Sw)</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100–130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0.5–0.8 t/ha (limited)</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1.5–2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Highland KE (Nyandarua, Nyeri), Northern TZ</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Linseed is the niche premium oilseed of East Africa’s highlands. Its omega-3 fatty acid content (alpha-linolenic acid) commands a strong health-food premium in urban supermarkets, and its industrial role — linseed oil for paint and varnish — underwrites a parallel demand from the regional coatings industry.</w:t>
      </w:r>
    </w:p>
    <w:p>
      <w:pPr>
        <w:spacing w:after="120" w:line="300"/>
      </w:pPr>
      <w:r>
        <w:rPr>
          <w:rFonts w:ascii="Calibri" w:cs="Calibri" w:eastAsia="Calibri" w:hAnsi="Calibri"/>
          <w:color w:val="1B1B1B"/>
          <w:sz w:val="22"/>
          <w:szCs w:val="22"/>
        </w:rPr>
        <w:t xml:space="preserve">Production is small but stable in highland Kenya (Nyandarua, Nyeri, Laikipia) and parts of Northern Tanzania. Most consumption-grade linseed in regional supermarkets is imported, despite the agronomic suitability of local highlands.</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Brown Linseed: </w:t>
      </w:r>
      <w:r>
        <w:rPr>
          <w:rFonts w:ascii="Calibri" w:cs="Calibri" w:eastAsia="Calibri" w:hAnsi="Calibri"/>
          <w:color w:val="1B1B1B"/>
          <w:sz w:val="22"/>
          <w:szCs w:val="22"/>
        </w:rPr>
        <w:t xml:space="preserve">The dominant variety class globally and in East Africa. Higher in omega-3, used in food, supplements and oil pressing.</w:t>
      </w:r>
    </w:p>
    <w:p>
      <w:pPr>
        <w:pStyle w:val="ListParagraph"/>
        <w:numPr>
          <w:ilvl w:val="0"/>
          <w:numId w:val="2"/>
        </w:numPr>
        <w:spacing w:after="80" w:line="290"/>
      </w:pPr>
      <w:r>
        <w:rPr>
          <w:rFonts w:ascii="Calibri" w:cs="Calibri" w:eastAsia="Calibri" w:hAnsi="Calibri"/>
          <w:b/>
          <w:bCs/>
          <w:color w:val="1B1B1B"/>
          <w:sz w:val="22"/>
          <w:szCs w:val="22"/>
        </w:rPr>
        <w:t xml:space="preserve">Yellow / Golden Linseed: </w:t>
      </w:r>
      <w:r>
        <w:rPr>
          <w:rFonts w:ascii="Calibri" w:cs="Calibri" w:eastAsia="Calibri" w:hAnsi="Calibri"/>
          <w:color w:val="1B1B1B"/>
          <w:sz w:val="22"/>
          <w:szCs w:val="22"/>
        </w:rPr>
        <w:t xml:space="preserve">Premium retail class in supermarkets and bakery markets; milder flavour; lower oil content. Niche cultivation in East Africa.</w:t>
      </w:r>
    </w:p>
    <w:p>
      <w:pPr>
        <w:pStyle w:val="ListParagraph"/>
        <w:numPr>
          <w:ilvl w:val="0"/>
          <w:numId w:val="2"/>
        </w:numPr>
        <w:spacing w:after="80" w:line="290"/>
      </w:pPr>
      <w:r>
        <w:rPr>
          <w:rFonts w:ascii="Calibri" w:cs="Calibri" w:eastAsia="Calibri" w:hAnsi="Calibri"/>
          <w:b/>
          <w:bCs/>
          <w:color w:val="1B1B1B"/>
          <w:sz w:val="22"/>
          <w:szCs w:val="22"/>
        </w:rPr>
        <w:t xml:space="preserve">Industrial / Linola Lines: </w:t>
      </w:r>
      <w:r>
        <w:rPr>
          <w:rFonts w:ascii="Calibri" w:cs="Calibri" w:eastAsia="Calibri" w:hAnsi="Calibri"/>
          <w:color w:val="1B1B1B"/>
          <w:sz w:val="22"/>
          <w:szCs w:val="22"/>
        </w:rPr>
        <w:t xml:space="preserve">Bred for paint, ink and varnish industries with adjusted fatty-acid profiles. Not a developed East African market.</w:t>
      </w:r>
    </w:p>
    <w:p>
      <w:pPr>
        <w:pStyle w:val="ListParagraph"/>
        <w:numPr>
          <w:ilvl w:val="0"/>
          <w:numId w:val="2"/>
        </w:numPr>
        <w:spacing w:after="80" w:line="290"/>
      </w:pPr>
      <w:r>
        <w:rPr>
          <w:rFonts w:ascii="Calibri" w:cs="Calibri" w:eastAsia="Calibri" w:hAnsi="Calibri"/>
          <w:b/>
          <w:bCs/>
          <w:color w:val="1B1B1B"/>
          <w:sz w:val="22"/>
          <w:szCs w:val="22"/>
        </w:rPr>
        <w:t xml:space="preserve">Improved Open-Pollinated Varieties: </w:t>
      </w:r>
      <w:r>
        <w:rPr>
          <w:rFonts w:ascii="Calibri" w:cs="Calibri" w:eastAsia="Calibri" w:hAnsi="Calibri"/>
          <w:color w:val="1B1B1B"/>
          <w:sz w:val="22"/>
          <w:szCs w:val="22"/>
        </w:rPr>
        <w:t xml:space="preserve">Most East African production uses imported or recycled OPVs; KALRO and TARI hold limited active linseed breeding programmes.</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Locally selected open-pollinated lines from KALRO Njoro and from informal highland multipliers; imported brown linseed widely planted.</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TARI Selian holds research lines; commercial cultivation is minimal.</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Negligible acreage.</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Negligible acreage; informal highland cultivation in Northern Province.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Negligible acreage.</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KALRO Njoro (limited); informal highland seed savers; Egerton University seed unit; specialist health-food importers double as seed vendors.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TARI Selian (research); informal highland multiplication.</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Not commercially supplied.</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(limited research).</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Not commercially supplied.</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Linseed is East Africa’s most under-developed premium oilseed. Retail prices in Nairobi, Kampala and Kigali supermarkets routinely exceed sunflower oil by 4–6x, yet local production remains marginal.</w:t>
      </w:r>
    </w:p>
    <w:p>
      <w:pPr>
        <w:spacing w:after="120" w:line="300"/>
      </w:pPr>
      <w:r>
        <w:rPr>
          <w:rFonts w:ascii="Calibri" w:cs="Calibri" w:eastAsia="Calibri" w:hAnsi="Calibri"/>
          <w:color w:val="1B1B1B"/>
          <w:sz w:val="22"/>
          <w:szCs w:val="22"/>
        </w:rPr>
        <w:t xml:space="preserve">The case for development is strongest in the highland Kenya and Tanzania niche where canola and wheat already compete for cool-season rotations. Investment in formal varietal release and contracted multiplication would build a value chain around an existing latent market.</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06</w:t>
            </w:r>
          </w:p>
          <w:p>
            <w:pPr>
              <w:spacing w:after="40"/>
            </w:pPr>
            <w:r>
              <w:rPr>
                <w:rFonts w:ascii="Calibri" w:cs="Calibri" w:eastAsia="Calibri" w:hAnsi="Calibri"/>
                <w:b/>
                <w:bCs/>
                <w:color w:val="FFFFFF"/>
                <w:sz w:val="36"/>
                <w:szCs w:val="36"/>
              </w:rPr>
              <w:t xml:space="preserve">Castor</w:t>
            </w:r>
          </w:p>
          <w:p>
            <w:r>
              <w:rPr>
                <w:rFonts w:ascii="Calibri" w:cs="Calibri" w:eastAsia="Calibri" w:hAnsi="Calibri"/>
                <w:i/>
                <w:iCs/>
                <w:color w:val="FFFFFF"/>
                <w:sz w:val="20"/>
                <w:szCs w:val="20"/>
              </w:rPr>
              <w:t xml:space="preserve">Ricinus communis</w:t>
            </w:r>
            <w:r>
              <w:rPr>
                <w:rFonts w:ascii="Calibri" w:cs="Calibri" w:eastAsia="Calibri" w:hAnsi="Calibri"/>
                <w:color w:val="FFFFFF"/>
                <w:sz w:val="20"/>
                <w:szCs w:val="20"/>
              </w:rPr>
              <w:t xml:space="preserve">   •   Mbono (Sw)  •  Castor bean</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120–180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0.5–1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2.5–4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Coastal &amp; Eastern KE, Central &amp; Coastal TZ, Northern UG</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Castor is the industrial oilseed of East Africa. Its oil — unique among vegetable oils for hydroxy-fatty-acid content (ricinoleic acid) — is in permanent global demand for cosmetics, lubricants, plastics, pharmaceuticals and bio-polymers. World prices have remained firm and supply concentrated in India, which controls roughly 80% of global production.</w:t>
      </w:r>
    </w:p>
    <w:p>
      <w:pPr>
        <w:spacing w:after="120" w:line="300"/>
      </w:pPr>
      <w:r>
        <w:rPr>
          <w:rFonts w:ascii="Calibri" w:cs="Calibri" w:eastAsia="Calibri" w:hAnsi="Calibri"/>
          <w:color w:val="1B1B1B"/>
          <w:sz w:val="22"/>
          <w:szCs w:val="22"/>
        </w:rPr>
        <w:t xml:space="preserve">East Africa’s castor opportunity is well-recognised but slowly realised. Tanzania’s Coast and Central regions, Kenya’s Eastern and Coast belts, and parts of Northern Uganda carry latent acreage. The primary constraint is a stable downstream offtake — castor processing and export infrastructure remains thin.</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Annual Dwarf Hybrids: </w:t>
      </w:r>
      <w:r>
        <w:rPr>
          <w:rFonts w:ascii="Calibri" w:cs="Calibri" w:eastAsia="Calibri" w:hAnsi="Calibri"/>
          <w:color w:val="1B1B1B"/>
          <w:sz w:val="22"/>
          <w:szCs w:val="22"/>
        </w:rPr>
        <w:t xml:space="preserve">The modern industrial standard. Compact, mechanisable, uniform maturity, high oil content (48–52%). Examples: GCH-7, DCH-519, GCH-4 (Indian releases under regional evaluation).</w:t>
      </w:r>
    </w:p>
    <w:p>
      <w:pPr>
        <w:pStyle w:val="ListParagraph"/>
        <w:numPr>
          <w:ilvl w:val="0"/>
          <w:numId w:val="2"/>
        </w:numPr>
        <w:spacing w:after="80" w:line="290"/>
      </w:pPr>
      <w:r>
        <w:rPr>
          <w:rFonts w:ascii="Calibri" w:cs="Calibri" w:eastAsia="Calibri" w:hAnsi="Calibri"/>
          <w:b/>
          <w:bCs/>
          <w:color w:val="1B1B1B"/>
          <w:sz w:val="22"/>
          <w:szCs w:val="22"/>
        </w:rPr>
        <w:t xml:space="preserve">Indeterminate Tall Types: </w:t>
      </w:r>
      <w:r>
        <w:rPr>
          <w:rFonts w:ascii="Calibri" w:cs="Calibri" w:eastAsia="Calibri" w:hAnsi="Calibri"/>
          <w:color w:val="1B1B1B"/>
          <w:sz w:val="22"/>
          <w:szCs w:val="22"/>
        </w:rPr>
        <w:t xml:space="preserve">Traditional landrace cultivation; perennial or semi-perennial habit; manual harvest; the dominant smallholder type in East Africa.</w:t>
      </w:r>
    </w:p>
    <w:p>
      <w:pPr>
        <w:pStyle w:val="ListParagraph"/>
        <w:numPr>
          <w:ilvl w:val="0"/>
          <w:numId w:val="2"/>
        </w:numPr>
        <w:spacing w:after="80" w:line="290"/>
      </w:pPr>
      <w:r>
        <w:rPr>
          <w:rFonts w:ascii="Calibri" w:cs="Calibri" w:eastAsia="Calibri" w:hAnsi="Calibri"/>
          <w:b/>
          <w:bCs/>
          <w:color w:val="1B1B1B"/>
          <w:sz w:val="22"/>
          <w:szCs w:val="22"/>
        </w:rPr>
        <w:t xml:space="preserve">Wilt-Resistant Lines: </w:t>
      </w:r>
      <w:r>
        <w:rPr>
          <w:rFonts w:ascii="Calibri" w:cs="Calibri" w:eastAsia="Calibri" w:hAnsi="Calibri"/>
          <w:color w:val="1B1B1B"/>
          <w:sz w:val="22"/>
          <w:szCs w:val="22"/>
        </w:rPr>
        <w:t xml:space="preserve">Fusarium wilt is the principal disease constraint. ICAR-IIOR (India) and TARI selections offer resistance.</w:t>
      </w:r>
    </w:p>
    <w:p>
      <w:pPr>
        <w:pStyle w:val="ListParagraph"/>
        <w:numPr>
          <w:ilvl w:val="0"/>
          <w:numId w:val="2"/>
        </w:numPr>
        <w:spacing w:after="80" w:line="290"/>
      </w:pPr>
      <w:r>
        <w:rPr>
          <w:rFonts w:ascii="Calibri" w:cs="Calibri" w:eastAsia="Calibri" w:hAnsi="Calibri"/>
          <w:b/>
          <w:bCs/>
          <w:color w:val="1B1B1B"/>
          <w:sz w:val="22"/>
          <w:szCs w:val="22"/>
        </w:rPr>
        <w:t xml:space="preserve">Low-Ricin Lines: </w:t>
      </w:r>
      <w:r>
        <w:rPr>
          <w:rFonts w:ascii="Calibri" w:cs="Calibri" w:eastAsia="Calibri" w:hAnsi="Calibri"/>
          <w:color w:val="1B1B1B"/>
          <w:sz w:val="22"/>
          <w:szCs w:val="22"/>
        </w:rPr>
        <w:t xml:space="preserve">Bred to reduce the toxin ricin in seedcake (the press-cake by-product), unlocking it as livestock feed. Important emerging direction.</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KARI Castor 1, KARI Castor 2, Kibwezi Local; Indian hybrids GCH-7 and DCH-519 under evaluation.</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TARI Naliendele lines; Local Coastal selections; Indian hybrids under evaluation through commercial introducers.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Local landraces in Northern and Eastern Uganda; NaSARRI evaluation of improved lines.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Negligible acreage.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Limited landrace cultivation.</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KALRO Mtwapa &amp; Katumani; Smart Logistics Solutions; Endelea (Kibwezi castor pilot); informal multipliers.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TARI Naliendele; ASA; Aminata Quality Seeds; private contract programmes (Olam, ETG).</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NaSARRI; informal multipliers.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Not commercially supplied.</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(limited).</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Castor is the highest-margin oilseed East Africa is not yet producing at scale. Global demand for ricinoleic-acid-based bio-polymers is rising structurally; supply remains India-concentrated.</w:t>
      </w:r>
    </w:p>
    <w:p>
      <w:pPr>
        <w:spacing w:after="120" w:line="300"/>
      </w:pPr>
      <w:r>
        <w:rPr>
          <w:rFonts w:ascii="Calibri" w:cs="Calibri" w:eastAsia="Calibri" w:hAnsi="Calibri"/>
          <w:color w:val="1B1B1B"/>
          <w:sz w:val="22"/>
          <w:szCs w:val="22"/>
        </w:rPr>
        <w:t xml:space="preserve">The action point sits with industrial investors, county governments and impact investors: build the crushing-and-export bridge first, varieties and contracted growers will follow. For farmers in Eastern Kenya or Coastal Tanzania asked to plant castor, sign the offtake contract before the seed goes in the ground.</w:t>
      </w:r>
    </w:p>
    <w:p>
      <w:r>
        <w:br w:type="page"/>
      </w:r>
    </w:p>
    <w:p>
      <w:pPr>
        <w:pStyle w:val="Heading2"/>
        <w:spacing w:after="100" w:before="220"/>
      </w:pPr>
      <w:r>
        <w:rPr>
          <w:rFonts w:ascii="Calibri" w:cs="Calibri" w:eastAsia="Calibri" w:hAnsi="Calibri"/>
          <w:b/>
          <w:bCs/>
          <w:color w:val="2E7D32"/>
          <w:sz w:val="26"/>
          <w:szCs w:val="26"/>
        </w:rPr>
        <w:t xml:space="preserve">Cross-cutting recommendations</w:t>
      </w:r>
    </w:p>
    <w:p>
      <w:pPr>
        <w:pStyle w:val="ListParagraph"/>
        <w:numPr>
          <w:ilvl w:val="0"/>
          <w:numId w:val="2"/>
        </w:numPr>
        <w:spacing w:after="80" w:line="290"/>
      </w:pPr>
      <w:r>
        <w:rPr>
          <w:rFonts w:ascii="Calibri" w:cs="Calibri" w:eastAsia="Calibri" w:hAnsi="Calibri"/>
          <w:b/>
          <w:bCs/>
          <w:color w:val="2E7D32"/>
          <w:sz w:val="22"/>
          <w:szCs w:val="22"/>
        </w:rPr>
        <w:t xml:space="preserve">Anchor seed in the offtake. </w:t>
      </w:r>
      <w:r>
        <w:rPr>
          <w:rFonts w:ascii="Calibri" w:cs="Calibri" w:eastAsia="Calibri" w:hAnsi="Calibri"/>
          <w:color w:val="1B1B1B"/>
          <w:sz w:val="22"/>
          <w:szCs w:val="22"/>
        </w:rPr>
        <w:t xml:space="preserve">Oilseed seed systems work best when the crusher, ginner or exporter carries the seed-distribution role. Tanzania’s sunflower model and Uganda’s sesame chain both illustrate this. Free-market oilseed seed without an offtake structure rarely scales.</w:t>
      </w:r>
    </w:p>
    <w:p>
      <w:pPr>
        <w:pStyle w:val="ListParagraph"/>
        <w:numPr>
          <w:ilvl w:val="0"/>
          <w:numId w:val="2"/>
        </w:numPr>
        <w:spacing w:after="80" w:line="290"/>
      </w:pPr>
      <w:r>
        <w:rPr>
          <w:rFonts w:ascii="Calibri" w:cs="Calibri" w:eastAsia="Calibri" w:hAnsi="Calibri"/>
          <w:b/>
          <w:bCs/>
          <w:color w:val="2E7D32"/>
          <w:sz w:val="22"/>
          <w:szCs w:val="22"/>
        </w:rPr>
        <w:t xml:space="preserve">Treat hybrids as a contract decision, OPVs as a smallholder default. </w:t>
      </w:r>
      <w:r>
        <w:rPr>
          <w:rFonts w:ascii="Calibri" w:cs="Calibri" w:eastAsia="Calibri" w:hAnsi="Calibri"/>
          <w:color w:val="1B1B1B"/>
          <w:sz w:val="22"/>
          <w:szCs w:val="22"/>
        </w:rPr>
        <w:t xml:space="preserve">Sunflower hybrids deliver 3 t/ha but require fresh seed every season and tighter agronomy; OPVs deliver 1.5 t/ha but recycle. Match the seed class to the marketing route.</w:t>
      </w:r>
    </w:p>
    <w:p>
      <w:pPr>
        <w:pStyle w:val="ListParagraph"/>
        <w:numPr>
          <w:ilvl w:val="0"/>
          <w:numId w:val="2"/>
        </w:numPr>
        <w:spacing w:after="80" w:line="290"/>
      </w:pPr>
      <w:r>
        <w:rPr>
          <w:rFonts w:ascii="Calibri" w:cs="Calibri" w:eastAsia="Calibri" w:hAnsi="Calibri"/>
          <w:b/>
          <w:bCs/>
          <w:color w:val="2E7D32"/>
          <w:sz w:val="22"/>
          <w:szCs w:val="22"/>
        </w:rPr>
        <w:t xml:space="preserve">Build crushing capacity ahead of acreage. </w:t>
      </w:r>
      <w:r>
        <w:rPr>
          <w:rFonts w:ascii="Calibri" w:cs="Calibri" w:eastAsia="Calibri" w:hAnsi="Calibri"/>
          <w:color w:val="1B1B1B"/>
          <w:sz w:val="22"/>
          <w:szCs w:val="22"/>
        </w:rPr>
        <w:t xml:space="preserve">Canola, castor and linseed expansion will fail without a near-by crusher and a forward contract. The crushing infrastructure should lead, not follow, the planting decision.</w:t>
      </w:r>
    </w:p>
    <w:p>
      <w:pPr>
        <w:pStyle w:val="ListParagraph"/>
        <w:numPr>
          <w:ilvl w:val="0"/>
          <w:numId w:val="2"/>
        </w:numPr>
        <w:spacing w:after="80" w:line="290"/>
      </w:pPr>
      <w:r>
        <w:rPr>
          <w:rFonts w:ascii="Calibri" w:cs="Calibri" w:eastAsia="Calibri" w:hAnsi="Calibri"/>
          <w:b/>
          <w:bCs/>
          <w:color w:val="2E7D32"/>
          <w:sz w:val="22"/>
          <w:szCs w:val="22"/>
        </w:rPr>
        <w:t xml:space="preserve">Demand delinted seed in cotton. </w:t>
      </w:r>
      <w:r>
        <w:rPr>
          <w:rFonts w:ascii="Calibri" w:cs="Calibri" w:eastAsia="Calibri" w:hAnsi="Calibri"/>
          <w:color w:val="1B1B1B"/>
          <w:sz w:val="22"/>
          <w:szCs w:val="22"/>
        </w:rPr>
        <w:t xml:space="preserve">Most cotton-seed yield loss in East Africa traces to fuzzy seed planted directly. Insist on acid-delinted, treated seed from a registered ginnery. The cost is recovered in germination.</w:t>
      </w:r>
    </w:p>
    <w:p>
      <w:pPr>
        <w:pStyle w:val="ListParagraph"/>
        <w:numPr>
          <w:ilvl w:val="0"/>
          <w:numId w:val="2"/>
        </w:numPr>
        <w:spacing w:after="80" w:line="290"/>
      </w:pPr>
      <w:r>
        <w:rPr>
          <w:rFonts w:ascii="Calibri" w:cs="Calibri" w:eastAsia="Calibri" w:hAnsi="Calibri"/>
          <w:b/>
          <w:bCs/>
          <w:color w:val="2E7D32"/>
          <w:sz w:val="22"/>
          <w:szCs w:val="22"/>
        </w:rPr>
        <w:t xml:space="preserve">Track Bt-cotton and TELA policy. </w:t>
      </w:r>
      <w:r>
        <w:rPr>
          <w:rFonts w:ascii="Calibri" w:cs="Calibri" w:eastAsia="Calibri" w:hAnsi="Calibri"/>
          <w:color w:val="1B1B1B"/>
          <w:sz w:val="22"/>
          <w:szCs w:val="22"/>
        </w:rPr>
        <w:t xml:space="preserve">Biosafety status varies by country and shifts year to year. Confirm with the National Biosafety Authority of the planting country before sourcing or distributing GM seed; ginnery and miller contracts will guide acceptable categories.</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note</w:t>
      </w:r>
    </w:p>
    <w:p>
      <w:pPr>
        <w:spacing w:after="120" w:line="300"/>
      </w:pPr>
      <w:r>
        <w:rPr>
          <w:rFonts w:ascii="Calibri" w:cs="Calibri" w:eastAsia="Calibri" w:hAnsi="Calibri"/>
          <w:color w:val="1B1B1B"/>
          <w:sz w:val="22"/>
          <w:szCs w:val="22"/>
        </w:rPr>
        <w:t xml:space="preserve">This Issue is the fourth instalment of Kilimokwanza’s Seed Series. Variety releases, regulatory decisions and multiplier listings continue to evolve, particularly in cotton, canola and castor where the market structure remains in motion. Corrections and additions from extension officers, multipliers, ginneries, crushers and farmers are welcome at editor@kilimokwanza.org.</w:t>
      </w:r>
    </w:p>
    <w:p>
      <w:pPr>
        <w:spacing w:after="120" w:line="300"/>
      </w:pPr>
      <w:r>
        <w:rPr>
          <w:rFonts w:ascii="Calibri" w:cs="Calibri" w:eastAsia="Calibri" w:hAnsi="Calibri"/>
          <w:color w:val="1B1B1B"/>
          <w:sz w:val="22"/>
          <w:szCs w:val="22"/>
        </w:rPr>
        <w:t xml:space="preserve">Coming next — Issue 5 • Cash Crops: coffee, cocoa, tea, tobacco, pyrethrum and sugarcane.</w:t>
      </w:r>
    </w:p>
    <w:p>
      <w:pPr>
        <w:spacing w:after="120" w:line="300"/>
      </w:pPr>
      <w:r>
        <w:rPr>
          <w:rFonts w:ascii="Calibri" w:cs="Calibri" w:eastAsia="Calibri" w:hAnsi="Calibri"/>
          <w:i/>
          <w:iCs/>
          <w:color w:val="5F6263"/>
          <w:sz w:val="20"/>
          <w:szCs w:val="20"/>
        </w:rPr>
        <w:t xml:space="preserve">Compiled by the Kilimokwanza Editorial Desk  •  Series Editor: Anthony Muchoki  •  </w:t>
      </w:r>
      <w:r>
        <w:rPr>
          <w:rFonts w:ascii="Calibri" w:cs="Calibri" w:eastAsia="Calibri" w:hAnsi="Calibri"/>
          <w:b/>
          <w:bCs/>
          <w:i/>
          <w:iCs/>
          <w:color w:val="2E7D32"/>
          <w:sz w:val="20"/>
          <w:szCs w:val="20"/>
        </w:rPr>
        <w:t xml:space="preserve">kilimokwanza.org</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9B93E" w:sz="6" w:space="4"/>
      </w:pBdr>
      <w:tabs>
        <w:tab w:val="center" w:pos="4680"/>
        <w:tab w:val="right" w:pos="9026"/>
      </w:tabs>
    </w:pPr>
    <w:r>
      <w:rPr>
        <w:rFonts w:ascii="Calibri" w:cs="Calibri" w:eastAsia="Calibri" w:hAnsi="Calibri"/>
        <w:color w:val="5F6263"/>
        <w:sz w:val="18"/>
        <w:szCs w:val="18"/>
      </w:rPr>
      <w:t xml:space="preserve">© 2026 Kilimokwanza.org</w:t>
    </w:r>
    <w:r>
      <w:t xml:space="preserve">	</w:t>
    </w:r>
    <w:r>
      <w:rPr>
        <w:rFonts w:ascii="Calibri" w:cs="Calibri" w:eastAsia="Calibri" w:hAnsi="Calibri"/>
        <w:i/>
        <w:iCs/>
        <w:color w:val="5F6263"/>
        <w:sz w:val="18"/>
        <w:szCs w:val="18"/>
      </w:rPr>
      <w:t xml:space="preserve">Oilseeds  •  East Africa</w:t>
    </w:r>
    <w:r>
      <w:t xml:space="preserve">	</w:t>
    </w:r>
    <w:r>
      <w:rPr>
        <w:rFonts w:ascii="Calibri" w:cs="Calibri" w:eastAsia="Calibri" w:hAnsi="Calibri"/>
        <w:color w:val="5F6263"/>
        <w:sz w:val="18"/>
        <w:szCs w:val="18"/>
      </w:rPr>
      <w:t xml:space="preserve">Page </w:t>
    </w:r>
    <w:r>
      <w:rPr>
        <w:rFonts w:ascii="Calibri" w:cs="Calibri" w:eastAsia="Calibri" w:hAnsi="Calibri"/>
        <w:color w:val="5F6263"/>
        <w:sz w:val="18"/>
        <w:szCs w:val="18"/>
      </w:rPr>
      <w:fldChar w:fldCharType="begin"/>
      <w:instrText xml:space="preserve">PAGE</w:instrText>
      <w:fldChar w:fldCharType="separate"/>
      <w:fldChar w:fldCharType="end"/>
    </w:r>
    <w:r>
      <w:rPr>
        <w:rFonts w:ascii="Calibri" w:cs="Calibri" w:eastAsia="Calibri" w:hAnsi="Calibri"/>
        <w:color w:val="5F6263"/>
        <w:sz w:val="18"/>
        <w:szCs w:val="18"/>
      </w:rPr>
      <w:t xml:space="preserve"> of </w:t>
    </w:r>
    <w:r>
      <w:rPr>
        <w:rFonts w:ascii="Calibri" w:cs="Calibri" w:eastAsia="Calibri" w:hAnsi="Calibri"/>
        <w:color w:val="5F6263"/>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9B93E" w:sz="6" w:space="4"/>
      </w:pBdr>
      <w:tabs>
        <w:tab w:val="right" w:pos="9026"/>
      </w:tabs>
      <w:spacing w:after="60"/>
    </w:pPr>
    <w:r>
      <w:rPr>
        <w:rFonts w:ascii="Calibri" w:cs="Calibri" w:eastAsia="Calibri" w:hAnsi="Calibri"/>
        <w:b/>
        <w:bCs/>
        <w:color w:val="2E7D32"/>
        <w:spacing w:val="40"/>
        <w:sz w:val="22"/>
        <w:szCs w:val="22"/>
      </w:rPr>
      <w:t xml:space="preserve">KILIMOKWANZA</w:t>
    </w:r>
    <w:r>
      <w:rPr>
        <w:rFonts w:ascii="Calibri" w:cs="Calibri" w:eastAsia="Calibri" w:hAnsi="Calibri"/>
        <w:color w:val="5F6263"/>
        <w:sz w:val="18"/>
        <w:szCs w:val="18"/>
      </w:rPr>
      <w:t xml:space="preserve">  |  Agriculture &amp; Agribusiness, East Africa</w:t>
    </w:r>
    <w:r>
      <w:t xml:space="preserve">	</w:t>
    </w:r>
    <w:r>
      <w:rPr>
        <w:rFonts w:ascii="Calibri" w:cs="Calibri" w:eastAsia="Calibri" w:hAnsi="Calibri"/>
        <w:i/>
        <w:iCs/>
        <w:color w:val="5F6263"/>
        <w:sz w:val="18"/>
        <w:szCs w:val="18"/>
      </w:rPr>
      <w:t xml:space="preserve">Issue 4  •  2026  •  Oilseeds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79B93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2E7D32"/>
      <w:sz w:val="32"/>
      <w:szCs w:val="32"/>
    </w:rPr>
  </w:style>
  <w:style w:type="paragraph" w:styleId="Heading2">
    <w:name w:val="Heading 2"/>
    <w:basedOn w:val="Normal"/>
    <w:next w:val="Normal"/>
    <w:qFormat/>
    <w:pPr>
      <w:spacing w:after="100" w:before="220"/>
      <w:outlineLvl w:val="1"/>
    </w:pPr>
    <w:rPr>
      <w:rFonts w:ascii="Calibri" w:cs="Calibri" w:eastAsia="Calibri" w:hAnsi="Calibri"/>
      <w:b/>
      <w:bCs/>
      <w:color w:val="2E7D32"/>
      <w:sz w:val="26"/>
      <w:szCs w:val="26"/>
    </w:rPr>
  </w:style>
  <w:style w:type="paragraph" w:styleId="Heading3">
    <w:name w:val="Heading 3"/>
    <w:basedOn w:val="Normal"/>
    <w:next w:val="Normal"/>
    <w:qFormat/>
    <w:pPr>
      <w:spacing w:after="60" w:before="160"/>
      <w:outlineLvl w:val="2"/>
    </w:pPr>
    <w:rPr>
      <w:rFonts w:ascii="Calibri" w:cs="Calibri" w:eastAsia="Calibri" w:hAnsi="Calibri"/>
      <w:b/>
      <w:bCs/>
      <w:color w:val="1B1B1B"/>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 Series Issue 4 — Oilseeds</dc:title>
  <dc:creator>Kilimokwanza.org</dc:creator>
  <dc:description>A country-by-country audit of the seed options for the six oilseeds that decide East Africa’s edible-oil bill and its industrial-oil future.</dc:description>
  <cp:lastModifiedBy>Un-named</cp:lastModifiedBy>
  <cp:revision>1</cp:revision>
  <dcterms:created xsi:type="dcterms:W3CDTF">2026-05-03T02:02:00.066Z</dcterms:created>
  <dcterms:modified xsi:type="dcterms:W3CDTF">2026-05-03T02:02:00.066Z</dcterms:modified>
</cp:coreProperties>
</file>

<file path=docProps/custom.xml><?xml version="1.0" encoding="utf-8"?>
<Properties xmlns="http://schemas.openxmlformats.org/officeDocument/2006/custom-properties" xmlns:vt="http://schemas.openxmlformats.org/officeDocument/2006/docPropsVTypes"/>
</file>