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8"/>
              <w:right w:val="none" w:color="FFFFFF" w:sz="0"/>
            </w:tcBorders>
            <w:shd w:fill="2E7D32" w:val="clear"/>
            <w:tcMar>
              <w:top w:type="dxa" w:w="320"/>
              <w:left w:type="dxa" w:w="280"/>
              <w:bottom w:type="dxa" w:w="320"/>
              <w:right w:type="dxa" w:w="280"/>
            </w:tcMar>
          </w:tcPr>
          <w:p>
            <w:pPr>
              <w:spacing w:after="60"/>
            </w:pPr>
            <w:r>
              <w:rPr>
                <w:rFonts w:ascii="Calibri" w:cs="Calibri" w:eastAsia="Calibri" w:hAnsi="Calibri"/>
                <w:b/>
                <w:bCs/>
                <w:color w:val="FFFFFF"/>
                <w:spacing w:val="40"/>
                <w:sz w:val="18"/>
                <w:szCs w:val="18"/>
              </w:rPr>
              <w:t xml:space="preserve">POST-HARVEST SERIES  /  SERIES 1 / ISSUE 4  •  2026</w:t>
            </w:r>
          </w:p>
          <w:p>
            <w:pPr>
              <w:spacing w:after="80"/>
            </w:pPr>
            <w:r>
              <w:rPr>
                <w:rFonts w:ascii="Calibri" w:cs="Calibri" w:eastAsia="Calibri" w:hAnsi="Calibri"/>
                <w:b/>
                <w:bCs/>
                <w:color w:val="FFFFFF"/>
                <w:sz w:val="38"/>
                <w:szCs w:val="38"/>
              </w:rPr>
              <w:t xml:space="preserve">Cash Crops — Post-Harvest &amp; Processing</w:t>
            </w:r>
          </w:p>
          <w:p>
            <w:r>
              <w:rPr>
                <w:rFonts w:ascii="Calibri" w:cs="Calibri" w:eastAsia="Calibri" w:hAnsi="Calibri"/>
                <w:i/>
                <w:iCs/>
                <w:color w:val="FFFFFF"/>
                <w:sz w:val="24"/>
                <w:szCs w:val="24"/>
              </w:rPr>
              <w:t xml:space="preserve">The six commercial-export-and-domestic-industrial cash crops where post-harvest infrastructure quality most directly determines value capture — from coffee washing-station economics to the Mombasa tea auction to pyrethrins-content discipline</w:t>
            </w:r>
          </w:p>
        </w:tc>
      </w:tr>
    </w:tbl>
    <w:p>
      <w:r>
        <w:t xml:space="preserve"/>
      </w:r>
    </w:p>
    <w:p>
      <w:pPr>
        <w:spacing w:after="120" w:line="300"/>
      </w:pPr>
      <w:r>
        <w:rPr>
          <w:rFonts w:ascii="Calibri" w:cs="Calibri" w:eastAsia="Calibri" w:hAnsi="Calibri"/>
          <w:color w:val="5F6263"/>
          <w:sz w:val="20"/>
          <w:szCs w:val="20"/>
        </w:rPr>
        <w:t xml:space="preserve">Published by </w:t>
      </w:r>
      <w:r>
        <w:rPr>
          <w:rFonts w:ascii="Calibri" w:cs="Calibri" w:eastAsia="Calibri" w:hAnsi="Calibri"/>
          <w:b/>
          <w:bCs/>
          <w:color w:val="2E7D32"/>
          <w:sz w:val="20"/>
          <w:szCs w:val="20"/>
        </w:rPr>
        <w:t xml:space="preserve">Kilimokwanza.org</w:t>
      </w:r>
      <w:r>
        <w:rPr>
          <w:rFonts w:ascii="Calibri" w:cs="Calibri" w:eastAsia="Calibri" w:hAnsi="Calibri"/>
          <w:color w:val="5F6263"/>
          <w:sz w:val="20"/>
          <w:szCs w:val="20"/>
        </w:rPr>
        <w:t xml:space="preserve">  |  Region: Kenya, Tanzania, Uganda, Rwanda, Burundi  |  Crops covered: Coffee, Cocoa, Tea, Tobacco, Pyrethrum, Sugarcane</w:t>
      </w:r>
    </w:p>
    <w:p>
      <w:pPr>
        <w:pBdr>
          <w:bottom w:val="single" w:color="79B93E" w:sz="6" w:space="1"/>
        </w:pBdr>
        <w:spacing w:after="60" w:before="60"/>
      </w:pPr>
      <w:r>
        <w:t xml:space="preserve"/>
      </w:r>
    </w:p>
    <w:p>
      <w:pPr>
        <w:pStyle w:val="Heading2"/>
        <w:spacing w:after="100" w:before="220"/>
      </w:pPr>
      <w:r>
        <w:rPr>
          <w:rFonts w:ascii="Calibri" w:cs="Calibri" w:eastAsia="Calibri" w:hAnsi="Calibri"/>
          <w:b/>
          <w:bCs/>
          <w:color w:val="2E7D32"/>
          <w:sz w:val="26"/>
          <w:szCs w:val="26"/>
        </w:rPr>
        <w:t xml:space="preserve">Editor’s introduction</w:t>
      </w:r>
    </w:p>
    <w:p>
      <w:pPr>
        <w:spacing w:after="120" w:line="300"/>
      </w:pPr>
      <w:r>
        <w:rPr>
          <w:rFonts w:ascii="Calibri" w:cs="Calibri" w:eastAsia="Calibri" w:hAnsi="Calibri"/>
          <w:color w:val="1B1B1B"/>
          <w:sz w:val="22"/>
          <w:szCs w:val="22"/>
        </w:rPr>
        <w:t xml:space="preserve">This Issue is the fourth instalment of the Kilimokwanza Post-Harvest &amp; Processing Series. Where Issue 1 (Cereals), Issue 2 (Legumes), and Issue 3 (Oilseeds) anchored foundational disciplines for grain-and-pulse-and-oil categories, Issue 4 (Cash Crops) anchors the regional commercial-export-and-domestic-industrial value-chain story — the crop category where post-harvest infrastructure quality most directly determines whether smallholder producers capture premium prices or surrender structural value to mid-stream aggregators and quality-discount.</w:t>
      </w:r>
    </w:p>
    <w:p>
      <w:pPr>
        <w:spacing w:after="120" w:line="300"/>
      </w:pPr>
      <w:r>
        <w:rPr>
          <w:rFonts w:ascii="Calibri" w:cs="Calibri" w:eastAsia="Calibri" w:hAnsi="Calibri"/>
          <w:color w:val="1B1B1B"/>
          <w:sz w:val="22"/>
          <w:szCs w:val="22"/>
        </w:rPr>
        <w:t xml:space="preserve">This Issue covers the six cash crops that anchored Seed Series Issue 5: coffee (the regional commercial-export anchor with washing-station economics defining wet-versus-dry-process value capture), cocoa (the emerging Tanzanian-and-Ugandan production with fermentation discipline as the post-harvest centrepiece), tea (the Kenyan-and-Rwandan-and-regional smallholder-factory-auction integrated value chain), tobacco (the contracted-grower-and-curing-discipline reference model), pyrethrum (Kenya’s natural-insecticide flagship with pyrethrins-content preservation as the post-harvest centrepiece), and sugarcane (the regional sugar-mill industry with cane-to-mill speed discipline and recovery-rate economics).</w:t>
      </w:r>
    </w:p>
    <w:p>
      <w:pPr>
        <w:spacing w:after="120" w:line="300"/>
      </w:pPr>
      <w:r>
        <w:rPr>
          <w:rFonts w:ascii="Calibri" w:cs="Calibri" w:eastAsia="Calibri" w:hAnsi="Calibri"/>
          <w:color w:val="1B1B1B"/>
          <w:sz w:val="22"/>
          <w:szCs w:val="22"/>
        </w:rPr>
        <w:t xml:space="preserve">Three structural through-lines connect the six cash crops. First, post-harvest infrastructure quality determines premium-versus-commodity value capture across all six categories — coffee washing stations, cocoa fermentation boxes, tea factories, tobacco curing barns, pyrethrum drying-and-extraction, sugar mills. Second, contracted-grower-and-aggregator commercial models dominate, with structural variations: cooperative-CWS for coffee and tea; private contractors for tobacco; regulatory-cooperative for pyrethrum; mill-affiliated for sugarcane; emerging cooperative-and-commercial for cocoa. Third, the auction-and-direct-trade structural framework varies: Mombasa Tea Auction (the regional volume anchor); Nairobi Coffee Exchange and emerging direct-trade specialty channels; commodity-trader contracted channels for cocoa, tobacco, pyrethrum; mill-direct for sugarcane.</w:t>
      </w:r>
    </w:p>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79B93E" w:sz="18"/>
              <w:left w:val="none" w:color="FFFFFF" w:sz="0"/>
              <w:bottom w:val="single" w:color="79B93E" w:sz="4"/>
              <w:right w:val="none" w:color="FFFFFF" w:sz="0"/>
            </w:tcBorders>
            <w:shd w:fill="E8F1E2" w:val="clear"/>
            <w:tcMar>
              <w:top w:type="dxa" w:w="200"/>
              <w:left w:type="dxa" w:w="280"/>
              <w:bottom w:type="dxa" w:w="200"/>
              <w:right w:type="dxa" w:w="280"/>
            </w:tcMar>
          </w:tcPr>
          <w:p>
            <w:pPr>
              <w:spacing w:after="100"/>
            </w:pPr>
            <w:r>
              <w:rPr>
                <w:rFonts w:ascii="Calibri" w:cs="Calibri" w:eastAsia="Calibri" w:hAnsi="Calibri"/>
                <w:b/>
                <w:bCs/>
                <w:color w:val="2E7D32"/>
                <w:spacing w:val="40"/>
                <w:sz w:val="18"/>
                <w:szCs w:val="18"/>
              </w:rPr>
              <w:t xml:space="preserve">COFFEE WASHING-STATION ECONOMICS: WET VS DRY PROCESS</w:t>
            </w:r>
          </w:p>
          <w:p>
            <w:pPr>
              <w:spacing w:after="100" w:line="290"/>
            </w:pPr>
            <w:r>
              <w:rPr>
                <w:rFonts w:ascii="Calibri" w:cs="Calibri" w:eastAsia="Calibri" w:hAnsi="Calibri"/>
                <w:color w:val="1B1B1B"/>
                <w:sz w:val="21"/>
                <w:szCs w:val="21"/>
              </w:rPr>
              <w:t xml:space="preserve">Coffee post-harvest economics are decided at the moment cherries leave the farm — and the wet-versus-dry-process distinction structurally defines all regional cash-crop quality-versus-commodity differentiation. Wet processing (washed / parchment) produces the bright, clean, acidic, fruit-and-floral cup quality that defines premium specialty coffee; dry processing (natural / cherry) produces the heavier-bodied, sweeter, less-acidic cup with potential off-notes that mark commodity-grade coffee. The same cherries, the same farm, the same harvest — different processing produces a 100–300% price differential at export.</w:t>
            </w:r>
          </w:p>
          <w:p>
            <w:pPr>
              <w:spacing w:after="100" w:line="290"/>
            </w:pPr>
            <w:r>
              <w:rPr>
                <w:rFonts w:ascii="Calibri" w:cs="Calibri" w:eastAsia="Calibri" w:hAnsi="Calibri"/>
                <w:color w:val="1B1B1B"/>
                <w:sz w:val="21"/>
                <w:szCs w:val="21"/>
              </w:rPr>
              <w:t xml:space="preserve">The pattern repeats across the cash-crop category with structural variations. Cocoa: properly fermented (5–7 days controlled fermentation) versus under-fermented produces a 50%+ price differential at export. Tea: factory-processed within 6–12 hours of plucking versus delayed-processing produces premium-versus-commercial grade differential at Mombasa auction. Tobacco: contracted-curing-protocol-adherent versus off-protocol production differs by 30–80% in farmer payment at aggregation. Pyrethrum: pyrethrins-preservation-disciplined versus standard handling differs by 30–80% in extract-grade pricing. Sugarcane: 24–48-hour cane-to-mill delivery versus delayed delivery costs 1–3% mill recovery rate.</w:t>
            </w:r>
          </w:p>
          <w:p>
            <w:pPr>
              <w:spacing w:after="100" w:line="290"/>
            </w:pPr>
            <w:r>
              <w:rPr>
                <w:rFonts w:ascii="Calibri" w:cs="Calibri" w:eastAsia="Calibri" w:hAnsi="Calibri"/>
                <w:color w:val="1B1B1B"/>
                <w:sz w:val="21"/>
                <w:szCs w:val="21"/>
              </w:rPr>
              <w:t xml:space="preserve">The structural commercial implication is consistent across the category: post-harvest infrastructure investment captures value that informal-channel handling structurally surrenders. The infrastructure ranges from cooperative-and-commercial coffee washing stations (the regional reference) to fermentation boxes to factory CTC machinery to curing barns to drying-and-extraction equipment to sugar mills — each at the operational scale appropriate to the underlying crop.</w:t>
            </w:r>
          </w:p>
          <w:p>
            <w:pPr>
              <w:spacing w:after="0" w:line="290"/>
            </w:pPr>
            <w:r>
              <w:rPr>
                <w:rFonts w:ascii="Calibri" w:cs="Calibri" w:eastAsia="Calibri" w:hAnsi="Calibri"/>
                <w:color w:val="1B1B1B"/>
                <w:sz w:val="21"/>
                <w:szCs w:val="21"/>
              </w:rPr>
              <w:t xml:space="preserve">For smallholder cash-crop producers across all six categories, the actionable rule is participation in quality-disciplined cooperative-or-commercial aggregation infrastructure. For impact investors, governments, and commercial operators, scaling post-harvest infrastructure into emerging production zones (Tanzanian Mbeya-Mbinga coffee, Tanzanian Mbeya-Kagera and Ugandan Bundibugyo cocoa, Burundian Kayanza-Ngozi-Bururi coffee) represents the regional cash-crop commercial-development opportunity with the strongest available value-capture trajectory.</w:t>
            </w:r>
          </w:p>
        </w:tc>
      </w:tr>
    </w:tbl>
    <w:p>
      <w:r>
        <w:t xml:space="preserve"/>
      </w:r>
    </w:p>
    <w:p>
      <w:pPr>
        <w:pStyle w:val="Heading2"/>
        <w:spacing w:after="100" w:before="220"/>
      </w:pPr>
      <w:r>
        <w:rPr>
          <w:rFonts w:ascii="Calibri" w:cs="Calibri" w:eastAsia="Calibri" w:hAnsi="Calibri"/>
          <w:b/>
          <w:bCs/>
          <w:color w:val="2E7D32"/>
          <w:sz w:val="26"/>
          <w:szCs w:val="26"/>
        </w:rPr>
        <w:t xml:space="preserve">The six cash crops at a glance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1500"/>
        <w:gridCol w:w="1500"/>
        <w:gridCol w:w="1500"/>
        <w:gridCol w:w="1620"/>
        <w:gridCol w:w="1740"/>
      </w:tblGrid>
      <w:tr>
        <w:trPr>
          <w:tblHeader/>
        </w:trPr>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Crop</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Loss range</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Drying / curing</w:t>
            </w:r>
          </w:p>
        </w:tc>
        <w:tc>
          <w:tcPr>
            <w:tcW w:type="dxa" w:w="150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Storage</w:t>
            </w:r>
          </w:p>
        </w:tc>
        <w:tc>
          <w:tcPr>
            <w:tcW w:type="dxa" w:w="162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Primary processing</w:t>
            </w:r>
          </w:p>
        </w:tc>
        <w:tc>
          <w:tcPr>
            <w:tcW w:type="dxa" w:w="1740"/>
            <w:tcBorders>
              <w:top w:val="single" w:color="FFFFFF" w:sz="4"/>
              <w:left w:val="single" w:color="FFFFFF" w:sz="4"/>
              <w:bottom w:val="single" w:color="FFFFFF" w:sz="4"/>
              <w:right w:val="single" w:color="FFFFFF" w:sz="4"/>
            </w:tcBorders>
            <w:shd w:fill="2E7D32" w:val="clear"/>
            <w:tcMar>
              <w:top w:type="dxa" w:w="100"/>
              <w:left w:type="dxa" w:w="120"/>
              <w:bottom w:type="dxa" w:w="100"/>
              <w:right w:type="dxa" w:w="120"/>
            </w:tcMar>
          </w:tcPr>
          <w:p>
            <w:r>
              <w:rPr>
                <w:rFonts w:ascii="Calibri" w:cs="Calibri" w:eastAsia="Calibri" w:hAnsi="Calibri"/>
                <w:b/>
                <w:bCs/>
                <w:color w:val="FFFFFF"/>
                <w:sz w:val="19"/>
                <w:szCs w:val="19"/>
              </w:rPr>
              <w:t xml:space="preserve">Lead market</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Coffee</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5–15%</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10–12%</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Parchment + green bean</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CWS, dry-mill, auction</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Specialty + commodity export</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Cocoa</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10–20%</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7–8%</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Jute / sisal bags</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Fermentation + drying</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Specialty + commodity export</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Tea</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5–10%</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3–6%</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Tea-chests, paper bags</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CTC factory + auction</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Mombasa auction (region-wide)</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Tobacco</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5–12%</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12–18%</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Bales (controlled humidity)</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Curing barns + grading</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Contracted export</w:t>
            </w:r>
          </w:p>
        </w:tc>
      </w:tr>
      <w:tr>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Pyrethrum</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10–20%</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8–10%</w:t>
            </w:r>
          </w:p>
        </w:tc>
        <w:tc>
          <w:tcPr>
            <w:tcW w:type="dxa" w:w="150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Cool, dark, dry</w:t>
            </w:r>
          </w:p>
        </w:tc>
        <w:tc>
          <w:tcPr>
            <w:tcW w:type="dxa" w:w="162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Pyrethrins extraction</w:t>
            </w:r>
          </w:p>
        </w:tc>
        <w:tc>
          <w:tcPr>
            <w:tcW w:type="dxa" w:w="1740"/>
            <w:tcBorders>
              <w:top w:val="single" w:color="DDDDDD" w:sz="2"/>
              <w:left w:val="single" w:color="DDDDDD" w:sz="2"/>
              <w:bottom w:val="single" w:color="DDDDDD" w:sz="2"/>
              <w:right w:val="single" w:color="DDDDDD" w:sz="2"/>
            </w:tcBorders>
            <w:shd w:fill="FFFFFF" w:val="clear"/>
            <w:tcMar>
              <w:top w:type="dxa" w:w="80"/>
              <w:left w:type="dxa" w:w="120"/>
              <w:bottom w:type="dxa" w:w="80"/>
              <w:right w:type="dxa" w:w="120"/>
            </w:tcMar>
          </w:tcPr>
          <w:p>
            <w:r>
              <w:rPr>
                <w:rFonts w:ascii="Calibri" w:cs="Calibri" w:eastAsia="Calibri" w:hAnsi="Calibri"/>
                <w:color w:val="1B1B1B"/>
                <w:sz w:val="18"/>
                <w:szCs w:val="18"/>
              </w:rPr>
              <w:t xml:space="preserve">Natural insecticide export</w:t>
            </w:r>
          </w:p>
        </w:tc>
      </w:tr>
      <w:tr>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Sugarcane</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5–15%</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Wet processing</w:t>
            </w:r>
          </w:p>
        </w:tc>
        <w:tc>
          <w:tcPr>
            <w:tcW w:type="dxa" w:w="150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Mill-aggregated</w:t>
            </w:r>
          </w:p>
        </w:tc>
        <w:tc>
          <w:tcPr>
            <w:tcW w:type="dxa" w:w="162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Crushing + crystallisation</w:t>
            </w:r>
          </w:p>
        </w:tc>
        <w:tc>
          <w:tcPr>
            <w:tcW w:type="dxa" w:w="1740"/>
            <w:tcBorders>
              <w:top w:val="single" w:color="DDDDDD" w:sz="2"/>
              <w:left w:val="single" w:color="DDDDDD" w:sz="2"/>
              <w:bottom w:val="single" w:color="DDDDDD" w:sz="2"/>
              <w:right w:val="single" w:color="DDDDDD" w:sz="2"/>
            </w:tcBorders>
            <w:shd w:fill="E8F1E2" w:val="clear"/>
            <w:tcMar>
              <w:top w:type="dxa" w:w="80"/>
              <w:left w:type="dxa" w:w="120"/>
              <w:bottom w:type="dxa" w:w="80"/>
              <w:right w:type="dxa" w:w="120"/>
            </w:tcMar>
          </w:tcPr>
          <w:p>
            <w:r>
              <w:rPr>
                <w:rFonts w:ascii="Calibri" w:cs="Calibri" w:eastAsia="Calibri" w:hAnsi="Calibri"/>
                <w:color w:val="1B1B1B"/>
                <w:sz w:val="18"/>
                <w:szCs w:val="18"/>
              </w:rPr>
              <w:t xml:space="preserve">Domestic sugar (mills)</w:t>
            </w:r>
          </w:p>
        </w:tc>
      </w:tr>
    </w:tbl>
    <w:p>
      <w:r>
        <w:t xml:space="preserve"/>
      </w:r>
    </w:p>
    <w:p>
      <w:pPr>
        <w:spacing w:after="120" w:line="300"/>
      </w:pPr>
      <w:r>
        <w:rPr>
          <w:rFonts w:ascii="Calibri" w:cs="Calibri" w:eastAsia="Calibri" w:hAnsi="Calibri"/>
          <w:i/>
          <w:iCs/>
          <w:color w:val="5F6263"/>
          <w:sz w:val="20"/>
          <w:szCs w:val="20"/>
        </w:rPr>
        <w:t xml:space="preserve">Read across: </w:t>
      </w:r>
      <w:r>
        <w:rPr>
          <w:rFonts w:ascii="Calibri" w:cs="Calibri" w:eastAsia="Calibri" w:hAnsi="Calibri"/>
          <w:i/>
          <w:iCs/>
          <w:color w:val="5F6263"/>
          <w:sz w:val="20"/>
          <w:szCs w:val="20"/>
        </w:rPr>
        <w:t xml:space="preserve">the post-harvest infrastructure column tells the structural story. Coffee’s washing stations and dry-mill operations; cocoa’s fermentation discipline; tea’s factory-and-auction integrated model; tobacco’s contracted curing; pyrethrum’s pyrethrins extraction; sugarcane’s mill-and-recovery-rate economics. The lead-market column anchors each crop’s commercial proposition: specialty-versus-commodity export differentiation across coffee, cocoa, tea; contracted commercial-export for tobacco; natural-insecticide international export for pyrethrum; domestic-industrial sugar industry for sugarcane.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01</w:t>
            </w:r>
          </w:p>
          <w:p>
            <w:pPr>
              <w:spacing w:after="40"/>
            </w:pPr>
            <w:r>
              <w:rPr>
                <w:rFonts w:ascii="Calibri" w:cs="Calibri" w:eastAsia="Calibri" w:hAnsi="Calibri"/>
                <w:b/>
                <w:bCs/>
                <w:color w:val="FFFFFF"/>
                <w:sz w:val="36"/>
                <w:szCs w:val="36"/>
              </w:rPr>
              <w:t xml:space="preserve">Coffee</w:t>
            </w:r>
          </w:p>
          <w:p>
            <w:r>
              <w:rPr>
                <w:rFonts w:ascii="Calibri" w:cs="Calibri" w:eastAsia="Calibri" w:hAnsi="Calibri"/>
                <w:i/>
                <w:iCs/>
                <w:color w:val="FFFFFF"/>
                <w:sz w:val="20"/>
                <w:szCs w:val="20"/>
              </w:rPr>
              <w:t xml:space="preserve">Coffea arabica  •  Coffea canephora (Robusta)</w:t>
            </w:r>
            <w:r>
              <w:rPr>
                <w:rFonts w:ascii="Calibri" w:cs="Calibri" w:eastAsia="Calibri" w:hAnsi="Calibri"/>
                <w:color w:val="FFFFFF"/>
                <w:sz w:val="20"/>
                <w:szCs w:val="20"/>
              </w:rPr>
              <w:t xml:space="preserve">   •   Kahawa (Sw)  •  The regional commercial-export anchor</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5–15% post-harvest loss (smallholder); 2–6% (washing-station-grade)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10–12% parchment moisture; 11–12% green-bean moisture for storage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Parchment (jute/sisal bags or modified-atmosphere); green-bean export bags; vacuum specialty</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Mt Kenya &amp; Aberdares &amp; Western (Arabica) KE; Bukoba &amp; Mbeya &amp; Mbinga (Arabica + Robusta) TZ; Mt Elgon &amp; Western &amp; Bugisu (Arabica + Robusta) UG; Northern &amp; Western highlands (Arabica) RW; Kayanza &amp; Ngozi &amp; Bururi (Arabica) BI</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Coffee is East Africa’s commercial-export anchor and the regional crop where post-harvest infrastructure quality most dramatically determines commercial value. Two species shape regional production: Arabica (Coffea arabica), the higher-altitude premium-quality cultivar dominant in Kenyan, Ethiopian-adjacent Tanzanian Mbinga, Rwandan and Burundian highlands; and Robusta (Coffea canephora), the lower-altitude higher-yielding cultivar dominant in Ugandan, Tanzanian Bukoba, and Coastal Tanzanian production. Annual regional production exceeds 1.2 million tonnes of green coffee combined across the five countries.</w:t>
      </w:r>
    </w:p>
    <w:p>
      <w:pPr>
        <w:spacing w:after="120" w:line="300"/>
      </w:pPr>
      <w:r>
        <w:rPr>
          <w:rFonts w:ascii="Calibri" w:cs="Calibri" w:eastAsia="Calibri" w:hAnsi="Calibri"/>
          <w:color w:val="1B1B1B"/>
          <w:sz w:val="22"/>
          <w:szCs w:val="22"/>
        </w:rPr>
        <w:t xml:space="preserve">Coffee post-harvest economics carry a premium-vs-commodity quality framework with structural price implications. Washed (wet-process) Arabica from quality-disciplined washing stations commands 100–300% over naturally-processed informal-market coffee from the same farmer’s cherries. The infrastructure that captures the premium — cooperative-and-commercial coffee washing stations (CWS), structured cherry-and-parchment grading, controlled drying, classified green-bean export aggregation — is what the regional industry has built (most fully in Kenya and Rwanda, expanding in Tanzania, Burundi and Uganda) and continues to develop. The remaining work is geographic-and-demographic extension and quality-discipline maintenance. The wet-versus-dry-process distinction is captured in detail in the upfront pull-out box of this Issue — anchoring the structural cash-crop quality-versus-commodity question across the entire category.</w:t>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Cherry harvesting (the foundational step): </w:t>
      </w:r>
      <w:r>
        <w:rPr>
          <w:rFonts w:ascii="Calibri" w:cs="Calibri" w:eastAsia="Calibri" w:hAnsi="Calibri"/>
          <w:color w:val="1B1B1B"/>
          <w:sz w:val="22"/>
          <w:szCs w:val="22"/>
        </w:rPr>
        <w:t xml:space="preserve">Selective hand-picking of fully-ripe red cherries; the picking discipline determines downstream cup quality. Strip-picking (harvesting all cherries regardless of ripeness) reduces cup quality dramatically and is discouraged at quality-grade farms.</w:t>
      </w:r>
    </w:p>
    <w:p>
      <w:pPr>
        <w:pStyle w:val="ListParagraph"/>
        <w:numPr>
          <w:ilvl w:val="0"/>
          <w:numId w:val="2"/>
        </w:numPr>
        <w:spacing w:after="80" w:line="290"/>
      </w:pPr>
      <w:r>
        <w:rPr>
          <w:rFonts w:ascii="Calibri" w:cs="Calibri" w:eastAsia="Calibri" w:hAnsi="Calibri"/>
          <w:b/>
          <w:bCs/>
          <w:color w:val="1B1B1B"/>
          <w:sz w:val="22"/>
          <w:szCs w:val="22"/>
        </w:rPr>
        <w:t xml:space="preserve">Cherry sorting: </w:t>
      </w:r>
      <w:r>
        <w:rPr>
          <w:rFonts w:ascii="Calibri" w:cs="Calibri" w:eastAsia="Calibri" w:hAnsi="Calibri"/>
          <w:color w:val="1B1B1B"/>
          <w:sz w:val="22"/>
          <w:szCs w:val="22"/>
        </w:rPr>
        <w:t xml:space="preserve">Pre-pulping float-sorting in water tanks to separate over-ripe, under-ripe, defective and infested cherries from clean ripe cherries; the discipline anchors washing-station throughput quality.</w:t>
      </w:r>
    </w:p>
    <w:p>
      <w:pPr>
        <w:pStyle w:val="ListParagraph"/>
        <w:numPr>
          <w:ilvl w:val="0"/>
          <w:numId w:val="2"/>
        </w:numPr>
        <w:spacing w:after="80" w:line="290"/>
      </w:pPr>
      <w:r>
        <w:rPr>
          <w:rFonts w:ascii="Calibri" w:cs="Calibri" w:eastAsia="Calibri" w:hAnsi="Calibri"/>
          <w:b/>
          <w:bCs/>
          <w:color w:val="1B1B1B"/>
          <w:sz w:val="22"/>
          <w:szCs w:val="22"/>
        </w:rPr>
        <w:t xml:space="preserve">Wet processing — depulping, fermentation, washing: </w:t>
      </w:r>
      <w:r>
        <w:rPr>
          <w:rFonts w:ascii="Calibri" w:cs="Calibri" w:eastAsia="Calibri" w:hAnsi="Calibri"/>
          <w:color w:val="1B1B1B"/>
          <w:sz w:val="22"/>
          <w:szCs w:val="22"/>
        </w:rPr>
        <w:t xml:space="preserve">Mechanical depulping removes outer cherry skin and pulp; fermentation in water tanks for 12–36 hours dissolves the residual mucilage; washing in clean-water channels removes mucilage residue. Washing-station infrastructure: Penagos, Pinhalense, McKinnon and regional fabricator depulping equipment.</w:t>
      </w:r>
    </w:p>
    <w:p>
      <w:pPr>
        <w:pStyle w:val="ListParagraph"/>
        <w:numPr>
          <w:ilvl w:val="0"/>
          <w:numId w:val="2"/>
        </w:numPr>
        <w:spacing w:after="80" w:line="290"/>
      </w:pPr>
      <w:r>
        <w:rPr>
          <w:rFonts w:ascii="Calibri" w:cs="Calibri" w:eastAsia="Calibri" w:hAnsi="Calibri"/>
          <w:b/>
          <w:bCs/>
          <w:color w:val="1B1B1B"/>
          <w:sz w:val="22"/>
          <w:szCs w:val="22"/>
        </w:rPr>
        <w:t xml:space="preserve">Parchment drying: </w:t>
      </w:r>
      <w:r>
        <w:rPr>
          <w:rFonts w:ascii="Calibri" w:cs="Calibri" w:eastAsia="Calibri" w:hAnsi="Calibri"/>
          <w:color w:val="1B1B1B"/>
          <w:sz w:val="22"/>
          <w:szCs w:val="22"/>
        </w:rPr>
        <w:t xml:space="preserve">Sun-drying parchment (the bean still in its parchment hull) on raised beds (the regional standard) or patio drying for 7–21 days to 10–12% moisture. Mechanical guardiola or dryer drums for accelerated drying at commercial scale.</w:t>
      </w:r>
    </w:p>
    <w:p>
      <w:pPr>
        <w:pStyle w:val="ListParagraph"/>
        <w:numPr>
          <w:ilvl w:val="0"/>
          <w:numId w:val="2"/>
        </w:numPr>
        <w:spacing w:after="80" w:line="290"/>
      </w:pPr>
      <w:r>
        <w:rPr>
          <w:rFonts w:ascii="Calibri" w:cs="Calibri" w:eastAsia="Calibri" w:hAnsi="Calibri"/>
          <w:b/>
          <w:bCs/>
          <w:color w:val="1B1B1B"/>
          <w:sz w:val="22"/>
          <w:szCs w:val="22"/>
        </w:rPr>
        <w:t xml:space="preserve">Dry processing (natural): </w:t>
      </w:r>
      <w:r>
        <w:rPr>
          <w:rFonts w:ascii="Calibri" w:cs="Calibri" w:eastAsia="Calibri" w:hAnsi="Calibri"/>
          <w:color w:val="1B1B1B"/>
          <w:sz w:val="22"/>
          <w:szCs w:val="22"/>
        </w:rPr>
        <w:t xml:space="preserve">Whole cherry sun-drying on raised beds or patios for 2–3 weeks until cherry moisture reaches 11–12%; subsequent mechanical hulling removes dried skin and pulp.</w:t>
      </w:r>
    </w:p>
    <w:p>
      <w:pPr>
        <w:pStyle w:val="ListParagraph"/>
        <w:numPr>
          <w:ilvl w:val="0"/>
          <w:numId w:val="2"/>
        </w:numPr>
        <w:spacing w:after="80" w:line="290"/>
      </w:pPr>
      <w:r>
        <w:rPr>
          <w:rFonts w:ascii="Calibri" w:cs="Calibri" w:eastAsia="Calibri" w:hAnsi="Calibri"/>
          <w:b/>
          <w:bCs/>
          <w:color w:val="1B1B1B"/>
          <w:sz w:val="22"/>
          <w:szCs w:val="22"/>
        </w:rPr>
        <w:t xml:space="preserve">Hulling and grading: </w:t>
      </w:r>
      <w:r>
        <w:rPr>
          <w:rFonts w:ascii="Calibri" w:cs="Calibri" w:eastAsia="Calibri" w:hAnsi="Calibri"/>
          <w:color w:val="1B1B1B"/>
          <w:sz w:val="22"/>
          <w:szCs w:val="22"/>
        </w:rPr>
        <w:t xml:space="preserve">Mechanical hulling removes parchment hull (washed) or dried cherry hull (natural); subsequent grading by screen size, density, and defect count produces export-grade green coffee. Major regional dry-mill operators handle this stage.</w:t>
      </w:r>
    </w:p>
    <w:p>
      <w:pPr>
        <w:pStyle w:val="ListParagraph"/>
        <w:numPr>
          <w:ilvl w:val="0"/>
          <w:numId w:val="2"/>
        </w:numPr>
        <w:spacing w:after="80" w:line="290"/>
      </w:pPr>
      <w:r>
        <w:rPr>
          <w:rFonts w:ascii="Calibri" w:cs="Calibri" w:eastAsia="Calibri" w:hAnsi="Calibri"/>
          <w:b/>
          <w:bCs/>
          <w:color w:val="1B1B1B"/>
          <w:sz w:val="22"/>
          <w:szCs w:val="22"/>
        </w:rPr>
        <w:t xml:space="preserve">Storage — parchment: </w:t>
      </w:r>
      <w:r>
        <w:rPr>
          <w:rFonts w:ascii="Calibri" w:cs="Calibri" w:eastAsia="Calibri" w:hAnsi="Calibri"/>
          <w:color w:val="1B1B1B"/>
          <w:sz w:val="22"/>
          <w:szCs w:val="22"/>
        </w:rPr>
        <w:t xml:space="preserve">Jute or sisal bags; emerging modified-atmosphere and hermetic specialty bags for premium consignment management. Parchment stores 12–18 months at proper moisture without quality decline.</w:t>
      </w:r>
    </w:p>
    <w:p>
      <w:pPr>
        <w:pStyle w:val="ListParagraph"/>
        <w:numPr>
          <w:ilvl w:val="0"/>
          <w:numId w:val="2"/>
        </w:numPr>
        <w:spacing w:after="80" w:line="290"/>
      </w:pPr>
      <w:r>
        <w:rPr>
          <w:rFonts w:ascii="Calibri" w:cs="Calibri" w:eastAsia="Calibri" w:hAnsi="Calibri"/>
          <w:b/>
          <w:bCs/>
          <w:color w:val="1B1B1B"/>
          <w:sz w:val="22"/>
          <w:szCs w:val="22"/>
        </w:rPr>
        <w:t xml:space="preserve">Storage — green coffee: </w:t>
      </w:r>
      <w:r>
        <w:rPr>
          <w:rFonts w:ascii="Calibri" w:cs="Calibri" w:eastAsia="Calibri" w:hAnsi="Calibri"/>
          <w:color w:val="1B1B1B"/>
          <w:sz w:val="22"/>
          <w:szCs w:val="22"/>
        </w:rPr>
        <w:t xml:space="preserve">GrainPro or vacuum-sealed bags for premium specialty; jute bags for commodity-grade. Green coffee shelf life is 6–12 months at proper moisture and storage temperature.</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Dry-mill processing (the regional consolidated operation): </w:t>
      </w:r>
      <w:r>
        <w:rPr>
          <w:rFonts w:ascii="Calibri" w:cs="Calibri" w:eastAsia="Calibri" w:hAnsi="Calibri"/>
          <w:color w:val="1B1B1B"/>
          <w:sz w:val="22"/>
          <w:szCs w:val="22"/>
        </w:rPr>
        <w:t xml:space="preserve">Hulling, grading, defect-sorting, and bagging green coffee for export. Major regional dry-mills: KPCU dry-mills (Kenya); Coffee Management Services (CMS) Kenya; Volcafe Specialty (regional); Coffee Quality Institute (CQI)-affiliated quality control. Ugandan, Tanzanian, Rwandan, and Burundian dry-mills follow similar operational structures.</w:t>
      </w:r>
    </w:p>
    <w:p>
      <w:pPr>
        <w:pStyle w:val="ListParagraph"/>
        <w:numPr>
          <w:ilvl w:val="0"/>
          <w:numId w:val="2"/>
        </w:numPr>
        <w:spacing w:after="80" w:line="290"/>
      </w:pPr>
      <w:r>
        <w:rPr>
          <w:rFonts w:ascii="Calibri" w:cs="Calibri" w:eastAsia="Calibri" w:hAnsi="Calibri"/>
          <w:b/>
          <w:bCs/>
          <w:color w:val="1B1B1B"/>
          <w:sz w:val="22"/>
          <w:szCs w:val="22"/>
        </w:rPr>
        <w:t xml:space="preserve">Specialty cupping and grading: </w:t>
      </w:r>
      <w:r>
        <w:rPr>
          <w:rFonts w:ascii="Calibri" w:cs="Calibri" w:eastAsia="Calibri" w:hAnsi="Calibri"/>
          <w:color w:val="1B1B1B"/>
          <w:sz w:val="22"/>
          <w:szCs w:val="22"/>
        </w:rPr>
        <w:t xml:space="preserve">Specialty coffee cupping by Q-grader-certified cuppers determines export-classification (specialty 80+ points; premium 75–79; commercial 70–74; below-grade &lt;70). The cup quality determines auction-and-direct-trade pricing.</w:t>
      </w:r>
    </w:p>
    <w:p>
      <w:pPr>
        <w:pStyle w:val="ListParagraph"/>
        <w:numPr>
          <w:ilvl w:val="0"/>
          <w:numId w:val="2"/>
        </w:numPr>
        <w:spacing w:after="80" w:line="290"/>
      </w:pPr>
      <w:r>
        <w:rPr>
          <w:rFonts w:ascii="Calibri" w:cs="Calibri" w:eastAsia="Calibri" w:hAnsi="Calibri"/>
          <w:b/>
          <w:bCs/>
          <w:color w:val="1B1B1B"/>
          <w:sz w:val="22"/>
          <w:szCs w:val="22"/>
        </w:rPr>
        <w:t xml:space="preserve">Auction and direct trade: </w:t>
      </w:r>
      <w:r>
        <w:rPr>
          <w:rFonts w:ascii="Calibri" w:cs="Calibri" w:eastAsia="Calibri" w:hAnsi="Calibri"/>
          <w:color w:val="1B1B1B"/>
          <w:sz w:val="22"/>
          <w:szCs w:val="22"/>
        </w:rPr>
        <w:t xml:space="preserve">Nairobi Coffee Exchange (NCE) for Kenyan exports; Mombasa-based and Dar es Salaam-based auction floors; emerging direct-trade specialty channels through Volcafe, Sucafina, ECOM, Olam Coffee divisions.</w:t>
      </w:r>
    </w:p>
    <w:p>
      <w:pPr>
        <w:pStyle w:val="ListParagraph"/>
        <w:numPr>
          <w:ilvl w:val="0"/>
          <w:numId w:val="2"/>
        </w:numPr>
        <w:spacing w:after="80" w:line="290"/>
      </w:pPr>
      <w:r>
        <w:rPr>
          <w:rFonts w:ascii="Calibri" w:cs="Calibri" w:eastAsia="Calibri" w:hAnsi="Calibri"/>
          <w:b/>
          <w:bCs/>
          <w:color w:val="1B1B1B"/>
          <w:sz w:val="22"/>
          <w:szCs w:val="22"/>
        </w:rPr>
        <w:t xml:space="preserve">Roasting and retail (the limited domestic value-add): </w:t>
      </w:r>
      <w:r>
        <w:rPr>
          <w:rFonts w:ascii="Calibri" w:cs="Calibri" w:eastAsia="Calibri" w:hAnsi="Calibri"/>
          <w:color w:val="1B1B1B"/>
          <w:sz w:val="22"/>
          <w:szCs w:val="22"/>
        </w:rPr>
        <w:t xml:space="preserve">Limited regional roasting-and-retail commercial scale relative to underlying production volumes; emerging premium domestic roastery operators (Java House Kenya, Dormans Kenya, Question Coffee Rwanda, emerging operators across the region). Regional cafe-and-retail expansion provides domestic-consumption growth trajectory.</w:t>
      </w:r>
    </w:p>
    <w:p>
      <w:pPr>
        <w:pStyle w:val="ListParagraph"/>
        <w:numPr>
          <w:ilvl w:val="0"/>
          <w:numId w:val="2"/>
        </w:numPr>
        <w:spacing w:after="80" w:line="290"/>
      </w:pPr>
      <w:r>
        <w:rPr>
          <w:rFonts w:ascii="Calibri" w:cs="Calibri" w:eastAsia="Calibri" w:hAnsi="Calibri"/>
          <w:b/>
          <w:bCs/>
          <w:color w:val="1B1B1B"/>
          <w:sz w:val="22"/>
          <w:szCs w:val="22"/>
        </w:rPr>
        <w:t xml:space="preserve">Specialty value-add: </w:t>
      </w:r>
      <w:r>
        <w:rPr>
          <w:rFonts w:ascii="Calibri" w:cs="Calibri" w:eastAsia="Calibri" w:hAnsi="Calibri"/>
          <w:color w:val="1B1B1B"/>
          <w:sz w:val="22"/>
          <w:szCs w:val="22"/>
        </w:rPr>
        <w:t xml:space="preserve">Single-origin specialty roasting; cooperative-branded direct-trade channels (Question Coffee Rwanda, Sucafina specialty, Volcafe Specialty); emerging cold-brew, ready-to-drink coffee, and instant-coffee premium product lines.</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Cherry moisture: 60–65% at harvest; parchment moisture target 10–12% for storage and export; green-bean moisture target 11–12% for export.</w:t>
      </w:r>
    </w:p>
    <w:p>
      <w:pPr>
        <w:pStyle w:val="ListParagraph"/>
        <w:numPr>
          <w:ilvl w:val="0"/>
          <w:numId w:val="2"/>
        </w:numPr>
        <w:spacing w:after="80" w:line="290"/>
      </w:pPr>
      <w:r>
        <w:rPr>
          <w:rFonts w:ascii="Calibri" w:cs="Calibri" w:eastAsia="Calibri" w:hAnsi="Calibri"/>
          <w:color w:val="1B1B1B"/>
          <w:sz w:val="22"/>
          <w:szCs w:val="22"/>
        </w:rPr>
        <w:t xml:space="preserve">SCA cup quality scale: 80+ specialty; 70–79.99 commercial; below 70 below-grade.</w:t>
      </w:r>
    </w:p>
    <w:p>
      <w:pPr>
        <w:pStyle w:val="ListParagraph"/>
        <w:numPr>
          <w:ilvl w:val="0"/>
          <w:numId w:val="2"/>
        </w:numPr>
        <w:spacing w:after="80" w:line="290"/>
      </w:pPr>
      <w:r>
        <w:rPr>
          <w:rFonts w:ascii="Calibri" w:cs="Calibri" w:eastAsia="Calibri" w:hAnsi="Calibri"/>
          <w:color w:val="1B1B1B"/>
          <w:sz w:val="22"/>
          <w:szCs w:val="22"/>
        </w:rPr>
        <w:t xml:space="preserve">Defect count: typically maximum 0–5 primary defects per 350 g for premium specialty grade.</w:t>
      </w:r>
    </w:p>
    <w:p>
      <w:pPr>
        <w:pStyle w:val="ListParagraph"/>
        <w:numPr>
          <w:ilvl w:val="0"/>
          <w:numId w:val="2"/>
        </w:numPr>
        <w:spacing w:after="80" w:line="290"/>
      </w:pPr>
      <w:r>
        <w:rPr>
          <w:rFonts w:ascii="Calibri" w:cs="Calibri" w:eastAsia="Calibri" w:hAnsi="Calibri"/>
          <w:color w:val="1B1B1B"/>
          <w:sz w:val="22"/>
          <w:szCs w:val="22"/>
        </w:rPr>
        <w:t xml:space="preserve">Screen size grading: AA (largest), AB, PB (peaberry), C, T, TT (premium-to-commodity progression for Kenyan classification).</w:t>
      </w:r>
    </w:p>
    <w:p>
      <w:pPr>
        <w:pStyle w:val="ListParagraph"/>
        <w:numPr>
          <w:ilvl w:val="0"/>
          <w:numId w:val="2"/>
        </w:numPr>
        <w:spacing w:after="80" w:line="290"/>
      </w:pPr>
      <w:r>
        <w:rPr>
          <w:rFonts w:ascii="Calibri" w:cs="Calibri" w:eastAsia="Calibri" w:hAnsi="Calibri"/>
          <w:color w:val="1B1B1B"/>
          <w:sz w:val="22"/>
          <w:szCs w:val="22"/>
        </w:rPr>
        <w:t xml:space="preserve">Moisture content: 10–12% for green coffee export-grade.</w:t>
      </w:r>
    </w:p>
    <w:p>
      <w:pPr>
        <w:pStyle w:val="ListParagraph"/>
        <w:numPr>
          <w:ilvl w:val="0"/>
          <w:numId w:val="2"/>
        </w:numPr>
        <w:spacing w:after="80" w:line="290"/>
      </w:pPr>
      <w:r>
        <w:rPr>
          <w:rFonts w:ascii="Calibri" w:cs="Calibri" w:eastAsia="Calibri" w:hAnsi="Calibri"/>
          <w:color w:val="1B1B1B"/>
          <w:sz w:val="22"/>
          <w:szCs w:val="22"/>
        </w:rPr>
        <w:t xml:space="preserve">Certification: Q-grade certification through CQI; Fairtrade, Rainforest Alliance, organic certifications for premium specialty markets; KEBS, TBS, UNBS, RSB, BBS standards apply to domestic coffee.</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Coffee Management Services Ltd (CMS) supplies CWS equipment; Penagos and Pinhalense regional distributors. CWS aggregators: Kenya Planters Cooperative Union (KPCU); CMS-affiliated cooperatives across Mt Kenya, Aberdares, Murang’a, Embu, Meru, Kirinyaga, Nyeri, Kiambu; Volcafe Specialty (Mt Kenya specialty channel). Auction: Nairobi Coffee Exchange (NCE). Quality: Coffee Research Institute / KALRO; Coffee Board of Kenya (CBK) regulatory.</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Equipment: TaCRI (Tanzania Coffee Research Institute, Lyamungu); Volcafe Specialty Tanzania equipment supply. CWS aggregators: Tanzania Coffee Board (TCB); Tanzania Coffee Association (TCA); Volcafe Specialty (Mbinga, Mbeya channel); Olam Coffee Tanzania; Bukoba area cooperative networks. Auction: Moshi Coffee Auction.</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Equipment: regional suppliers; Uganda Coffee Development Authority (UCDA)-affiliated networks. CWS aggregators: UCDA; emerging private CWS networks; Volcafe Uganda; Olam Coffee Uganda; Sucafina Uganda; Mt Elgon and Bugisu cooperative unions.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Equipment: NAEB-affiliated CWS equipment supply; Question Coffee infrastructure investments. CWS aggregators: National Agricultural Export Development Board (NAEB); Question Coffee; Sucafina Rwanda (Mbiriba); Volcafe Rwanda; cooperative-driven CWS networks across all five Provinces. Auction-and-direct: emerging direct-trade specialty channels.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Equipment: BUCAFE-affiliated networks; ARFIC infrastructure. CWS aggregators: BUCAFE (Burundi Coffee Producers Federation); ARFIC (Autorité de Régulation de la Filière Café); cooperative networks across Kayanza, Ngozi, Bururi.</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Coffee post-harvest is the regional flagship commercial-export-quality story — the crop where infrastructure investment most directly translates to value capture, where the wet-process discipline structurally rewards cooperative-and-commercial operators willing to invest in CWS quality, and where the premium-vs-commodity differential carries enough price differential to justify the discipline at every scale.</w:t>
      </w:r>
    </w:p>
    <w:p>
      <w:pPr>
        <w:spacing w:after="120" w:line="300"/>
      </w:pPr>
      <w:r>
        <w:rPr>
          <w:rFonts w:ascii="Calibri" w:cs="Calibri" w:eastAsia="Calibri" w:hAnsi="Calibri"/>
          <w:color w:val="1B1B1B"/>
          <w:sz w:val="22"/>
          <w:szCs w:val="22"/>
        </w:rPr>
        <w:t xml:space="preserve">For smallholder coffee farmers, the actionable rule is to deliver cherries to a quality-disciplined CWS with structured grading and washing infrastructure. For commercial operators and impact investors, scaling CWS infrastructure into emerging production zones (Tanzanian Mbeya-Mbinga, Burundian Kayanza-Ngozi-Bururi, Ugandan Mt Elgon-Bugisu) represents one of the strongest available regional commercial-development opportunities. For governments and regulators, maintaining quality-discipline frameworks through CBK, TCB, UCDA, NAEB and ARFIC remains the regional public-sector contribution to specialty-grade trajectory.</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02</w:t>
            </w:r>
          </w:p>
          <w:p>
            <w:pPr>
              <w:spacing w:after="40"/>
            </w:pPr>
            <w:r>
              <w:rPr>
                <w:rFonts w:ascii="Calibri" w:cs="Calibri" w:eastAsia="Calibri" w:hAnsi="Calibri"/>
                <w:b/>
                <w:bCs/>
                <w:color w:val="FFFFFF"/>
                <w:sz w:val="36"/>
                <w:szCs w:val="36"/>
              </w:rPr>
              <w:t xml:space="preserve">Cocoa</w:t>
            </w:r>
          </w:p>
          <w:p>
            <w:r>
              <w:rPr>
                <w:rFonts w:ascii="Calibri" w:cs="Calibri" w:eastAsia="Calibri" w:hAnsi="Calibri"/>
                <w:i/>
                <w:iCs/>
                <w:color w:val="FFFFFF"/>
                <w:sz w:val="20"/>
                <w:szCs w:val="20"/>
              </w:rPr>
              <w:t xml:space="preserve">Theobroma cacao</w:t>
            </w:r>
            <w:r>
              <w:rPr>
                <w:rFonts w:ascii="Calibri" w:cs="Calibri" w:eastAsia="Calibri" w:hAnsi="Calibri"/>
                <w:color w:val="FFFFFF"/>
                <w:sz w:val="20"/>
                <w:szCs w:val="20"/>
              </w:rPr>
              <w:t xml:space="preserve">   •   Kakao (Sw)  •  The regional emerging-export cash crop</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10–20% post-harvest loss (including under-fermentation quality loss)</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7–8% bean moisture for storage and export</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Jute or sisal bags; controlled storage at export aggregators</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Mbeya &amp; Kagera TZ (the regional production heartland); Bundibugyo &amp; Western UG (emerging); minor KE; minor RW; minor BI</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Cocoa is East Africa’s emerging cash-crop export with structural growth trajectory tied to global premium-chocolate demand and to regional tree-crop diversification. Tanzania anchors regional production through Mbeya (Southern Highlands) and Kagera (Lake Zone) production zones; Uganda’s Bundibugyo District (Rwenzori foothills) is the second regional cluster with rapidly expanding production. Annual regional production sits at modest scale relative to West African production (which dominates global supply), but premium specialty positioning has begun to develop through 2024–2026 commercial activity.</w:t>
      </w:r>
    </w:p>
    <w:p>
      <w:pPr>
        <w:spacing w:after="120" w:line="300"/>
      </w:pPr>
      <w:r>
        <w:rPr>
          <w:rFonts w:ascii="Calibri" w:cs="Calibri" w:eastAsia="Calibri" w:hAnsi="Calibri"/>
          <w:color w:val="1B1B1B"/>
          <w:sz w:val="22"/>
          <w:szCs w:val="22"/>
        </w:rPr>
        <w:t xml:space="preserve">Cocoa post-harvest economics are dominated by fermentation discipline. Properly fermented cocoa beans (5–7 days under controlled conditions) develop the precursor compounds that drive premium chocolate flavour during subsequent roasting. Under-fermented cocoa produces astringent, off-flavour beans worth half the price of fermentation-disciplined cocoa. The regional commercial trajectory therefore depends critically on cooperative-and-commercial fermentation infrastructure rather than on production scale alone.</w:t>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Pod harvesting: </w:t>
      </w:r>
      <w:r>
        <w:rPr>
          <w:rFonts w:ascii="Calibri" w:cs="Calibri" w:eastAsia="Calibri" w:hAnsi="Calibri"/>
          <w:color w:val="1B1B1B"/>
          <w:sz w:val="22"/>
          <w:szCs w:val="22"/>
        </w:rPr>
        <w:t xml:space="preserve">Selective harvesting of ripe pods (yellow or red colour depending on variety); ripe-pod selection over multiple harvest rounds across 6–9 months of seasonal harvest. Hand-harvesting is the regional standard.</w:t>
      </w:r>
    </w:p>
    <w:p>
      <w:pPr>
        <w:pStyle w:val="ListParagraph"/>
        <w:numPr>
          <w:ilvl w:val="0"/>
          <w:numId w:val="2"/>
        </w:numPr>
        <w:spacing w:after="80" w:line="290"/>
      </w:pPr>
      <w:r>
        <w:rPr>
          <w:rFonts w:ascii="Calibri" w:cs="Calibri" w:eastAsia="Calibri" w:hAnsi="Calibri"/>
          <w:b/>
          <w:bCs/>
          <w:color w:val="1B1B1B"/>
          <w:sz w:val="22"/>
          <w:szCs w:val="22"/>
        </w:rPr>
        <w:t xml:space="preserve">Pod opening and bean extraction: </w:t>
      </w:r>
      <w:r>
        <w:rPr>
          <w:rFonts w:ascii="Calibri" w:cs="Calibri" w:eastAsia="Calibri" w:hAnsi="Calibri"/>
          <w:color w:val="1B1B1B"/>
          <w:sz w:val="22"/>
          <w:szCs w:val="22"/>
        </w:rPr>
        <w:t xml:space="preserve">Manual pod opening (machete or wooden mallet); extraction of beans-and-pulp from pod cavities. Damage to beans during opening reduces fermentation outcomes.</w:t>
      </w:r>
    </w:p>
    <w:p>
      <w:pPr>
        <w:pStyle w:val="ListParagraph"/>
        <w:numPr>
          <w:ilvl w:val="0"/>
          <w:numId w:val="2"/>
        </w:numPr>
        <w:spacing w:after="80" w:line="290"/>
      </w:pPr>
      <w:r>
        <w:rPr>
          <w:rFonts w:ascii="Calibri" w:cs="Calibri" w:eastAsia="Calibri" w:hAnsi="Calibri"/>
          <w:b/>
          <w:bCs/>
          <w:color w:val="1B1B1B"/>
          <w:sz w:val="22"/>
          <w:szCs w:val="22"/>
        </w:rPr>
        <w:t xml:space="preserve">Fermentation (the post-harvest centrepiece): </w:t>
      </w:r>
      <w:r>
        <w:rPr>
          <w:rFonts w:ascii="Calibri" w:cs="Calibri" w:eastAsia="Calibri" w:hAnsi="Calibri"/>
          <w:color w:val="1B1B1B"/>
          <w:sz w:val="22"/>
          <w:szCs w:val="22"/>
        </w:rPr>
        <w:t xml:space="preserve">Heap fermentation under banana leaves (smallholder traditional) or box fermentation in tiered wooden boxes (cooperative-and-commercial standard) for 5–7 days; beans rotated every 24–48 hours; temperature reaches 45–50°C during peak fermentation. The discipline determines downstream cup quality.</w:t>
      </w:r>
    </w:p>
    <w:p>
      <w:pPr>
        <w:pStyle w:val="ListParagraph"/>
        <w:numPr>
          <w:ilvl w:val="0"/>
          <w:numId w:val="2"/>
        </w:numPr>
        <w:spacing w:after="80" w:line="290"/>
      </w:pPr>
      <w:r>
        <w:rPr>
          <w:rFonts w:ascii="Calibri" w:cs="Calibri" w:eastAsia="Calibri" w:hAnsi="Calibri"/>
          <w:b/>
          <w:bCs/>
          <w:color w:val="1B1B1B"/>
          <w:sz w:val="22"/>
          <w:szCs w:val="22"/>
        </w:rPr>
        <w:t xml:space="preserve">Drying: </w:t>
      </w:r>
      <w:r>
        <w:rPr>
          <w:rFonts w:ascii="Calibri" w:cs="Calibri" w:eastAsia="Calibri" w:hAnsi="Calibri"/>
          <w:color w:val="1B1B1B"/>
          <w:sz w:val="22"/>
          <w:szCs w:val="22"/>
        </w:rPr>
        <w:t xml:space="preserve">Sun-drying on raised beds or patios for 7–10 days to 7–8% moisture. Solar dryers and mechanical dryers at commercial scale. Smoke-tainted drying (firewood-fired drying) reduces premium-grade quality.</w:t>
      </w:r>
    </w:p>
    <w:p>
      <w:pPr>
        <w:pStyle w:val="ListParagraph"/>
        <w:numPr>
          <w:ilvl w:val="0"/>
          <w:numId w:val="2"/>
        </w:numPr>
        <w:spacing w:after="80" w:line="290"/>
      </w:pPr>
      <w:r>
        <w:rPr>
          <w:rFonts w:ascii="Calibri" w:cs="Calibri" w:eastAsia="Calibri" w:hAnsi="Calibri"/>
          <w:b/>
          <w:bCs/>
          <w:color w:val="1B1B1B"/>
          <w:sz w:val="22"/>
          <w:szCs w:val="22"/>
        </w:rPr>
        <w:t xml:space="preserve">Sorting and grading: </w:t>
      </w:r>
      <w:r>
        <w:rPr>
          <w:rFonts w:ascii="Calibri" w:cs="Calibri" w:eastAsia="Calibri" w:hAnsi="Calibri"/>
          <w:color w:val="1B1B1B"/>
          <w:sz w:val="22"/>
          <w:szCs w:val="22"/>
        </w:rPr>
        <w:t xml:space="preserve">Hand-sorting for damaged, under-fermented, or insect-infested beans; mechanical sorting at commercial-aggregator scale. Bean-count grading (large beans premium-grade, small beans commodity-grade).</w:t>
      </w:r>
    </w:p>
    <w:p>
      <w:pPr>
        <w:pStyle w:val="ListParagraph"/>
        <w:numPr>
          <w:ilvl w:val="0"/>
          <w:numId w:val="2"/>
        </w:numPr>
        <w:spacing w:after="80" w:line="290"/>
      </w:pPr>
      <w:r>
        <w:rPr>
          <w:rFonts w:ascii="Calibri" w:cs="Calibri" w:eastAsia="Calibri" w:hAnsi="Calibri"/>
          <w:b/>
          <w:bCs/>
          <w:color w:val="1B1B1B"/>
          <w:sz w:val="22"/>
          <w:szCs w:val="22"/>
        </w:rPr>
        <w:t xml:space="preserve">Storage: </w:t>
      </w:r>
      <w:r>
        <w:rPr>
          <w:rFonts w:ascii="Calibri" w:cs="Calibri" w:eastAsia="Calibri" w:hAnsi="Calibri"/>
          <w:color w:val="1B1B1B"/>
          <w:sz w:val="22"/>
          <w:szCs w:val="22"/>
        </w:rPr>
        <w:t xml:space="preserve">Jute or sisal bags at smallholder and cooperative scale; controlled-atmosphere warehousing at export-aggregator scale. Cocoa beans absorb moisture and odours readily, so storage discipline matters.</w:t>
      </w:r>
    </w:p>
    <w:p>
      <w:pPr>
        <w:pStyle w:val="ListParagraph"/>
        <w:numPr>
          <w:ilvl w:val="0"/>
          <w:numId w:val="2"/>
        </w:numPr>
        <w:spacing w:after="80" w:line="290"/>
      </w:pPr>
      <w:r>
        <w:rPr>
          <w:rFonts w:ascii="Calibri" w:cs="Calibri" w:eastAsia="Calibri" w:hAnsi="Calibri"/>
          <w:b/>
          <w:bCs/>
          <w:color w:val="1B1B1B"/>
          <w:sz w:val="22"/>
          <w:szCs w:val="22"/>
        </w:rPr>
        <w:t xml:space="preserve">Pest control: </w:t>
      </w:r>
      <w:r>
        <w:rPr>
          <w:rFonts w:ascii="Calibri" w:cs="Calibri" w:eastAsia="Calibri" w:hAnsi="Calibri"/>
          <w:color w:val="1B1B1B"/>
          <w:sz w:val="22"/>
          <w:szCs w:val="22"/>
        </w:rPr>
        <w:t xml:space="preserve">Cocoa moth (Endrosis sarcitrella); confused flour beetle; some lepidopteran pests. Hermetic storage and phosphine fumigation at export-grade scale.</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Bean export (the dominant commercial channel): </w:t>
      </w:r>
      <w:r>
        <w:rPr>
          <w:rFonts w:ascii="Calibri" w:cs="Calibri" w:eastAsia="Calibri" w:hAnsi="Calibri"/>
          <w:color w:val="1B1B1B"/>
          <w:sz w:val="22"/>
          <w:szCs w:val="22"/>
        </w:rPr>
        <w:t xml:space="preserve">Most regional cocoa moves as graded export beans to international chocolate manufacturers and traders. Major regional aggregators: Olam Cocoa Tanzania; Cargill Cocoa (Tanzania interest); Theo Chocolate (specialty Tanzanian); Esco Kakao (Bundibugyo, Uganda). Volcafe Cocoa division regional presence emerging.</w:t>
      </w:r>
    </w:p>
    <w:p>
      <w:pPr>
        <w:pStyle w:val="ListParagraph"/>
        <w:numPr>
          <w:ilvl w:val="0"/>
          <w:numId w:val="2"/>
        </w:numPr>
        <w:spacing w:after="80" w:line="290"/>
      </w:pPr>
      <w:r>
        <w:rPr>
          <w:rFonts w:ascii="Calibri" w:cs="Calibri" w:eastAsia="Calibri" w:hAnsi="Calibri"/>
          <w:b/>
          <w:bCs/>
          <w:color w:val="1B1B1B"/>
          <w:sz w:val="22"/>
          <w:szCs w:val="22"/>
        </w:rPr>
        <w:t xml:space="preserve">Cocoa nibs and roasting (limited regional commercial): </w:t>
      </w:r>
      <w:r>
        <w:rPr>
          <w:rFonts w:ascii="Calibri" w:cs="Calibri" w:eastAsia="Calibri" w:hAnsi="Calibri"/>
          <w:color w:val="1B1B1B"/>
          <w:sz w:val="22"/>
          <w:szCs w:val="22"/>
        </w:rPr>
        <w:t xml:space="preserve">Limited regional roasting-and-grinding scale; emerging premium artisan operators (Theo Chocolate Tanzania, Question Coffee-affiliated Rwanda, emerging Kampala-area operators).</w:t>
      </w:r>
    </w:p>
    <w:p>
      <w:pPr>
        <w:pStyle w:val="ListParagraph"/>
        <w:numPr>
          <w:ilvl w:val="0"/>
          <w:numId w:val="2"/>
        </w:numPr>
        <w:spacing w:after="80" w:line="290"/>
      </w:pPr>
      <w:r>
        <w:rPr>
          <w:rFonts w:ascii="Calibri" w:cs="Calibri" w:eastAsia="Calibri" w:hAnsi="Calibri"/>
          <w:b/>
          <w:bCs/>
          <w:color w:val="1B1B1B"/>
          <w:sz w:val="22"/>
          <w:szCs w:val="22"/>
        </w:rPr>
        <w:t xml:space="preserve">Cocoa butter and powder (limited regional): </w:t>
      </w:r>
      <w:r>
        <w:rPr>
          <w:rFonts w:ascii="Calibri" w:cs="Calibri" w:eastAsia="Calibri" w:hAnsi="Calibri"/>
          <w:color w:val="1B1B1B"/>
          <w:sz w:val="22"/>
          <w:szCs w:val="22"/>
        </w:rPr>
        <w:t xml:space="preserve">Cocoa butter pressing and cocoa powder grinding; minimal regional commercial scale; principally exported to international processors.</w:t>
      </w:r>
    </w:p>
    <w:p>
      <w:pPr>
        <w:pStyle w:val="ListParagraph"/>
        <w:numPr>
          <w:ilvl w:val="0"/>
          <w:numId w:val="2"/>
        </w:numPr>
        <w:spacing w:after="80" w:line="290"/>
      </w:pPr>
      <w:r>
        <w:rPr>
          <w:rFonts w:ascii="Calibri" w:cs="Calibri" w:eastAsia="Calibri" w:hAnsi="Calibri"/>
          <w:b/>
          <w:bCs/>
          <w:color w:val="1B1B1B"/>
          <w:sz w:val="22"/>
          <w:szCs w:val="22"/>
        </w:rPr>
        <w:t xml:space="preserve">Bean-to-bar premium retail: </w:t>
      </w:r>
      <w:r>
        <w:rPr>
          <w:rFonts w:ascii="Calibri" w:cs="Calibri" w:eastAsia="Calibri" w:hAnsi="Calibri"/>
          <w:color w:val="1B1B1B"/>
          <w:sz w:val="22"/>
          <w:szCs w:val="22"/>
        </w:rPr>
        <w:t xml:space="preserve">Emerging single-origin specialty chocolate operators; Theo Chocolate Tanzania has demonstrated commercial trajectory; emerging artisan operators across Rwanda, Uganda, Kenya.</w:t>
      </w:r>
    </w:p>
    <w:p>
      <w:pPr>
        <w:pStyle w:val="ListParagraph"/>
        <w:numPr>
          <w:ilvl w:val="0"/>
          <w:numId w:val="2"/>
        </w:numPr>
        <w:spacing w:after="80" w:line="290"/>
      </w:pPr>
      <w:r>
        <w:rPr>
          <w:rFonts w:ascii="Calibri" w:cs="Calibri" w:eastAsia="Calibri" w:hAnsi="Calibri"/>
          <w:b/>
          <w:bCs/>
          <w:color w:val="1B1B1B"/>
          <w:sz w:val="22"/>
          <w:szCs w:val="22"/>
        </w:rPr>
        <w:t xml:space="preserve">Cocoa shell and by-products: </w:t>
      </w:r>
      <w:r>
        <w:rPr>
          <w:rFonts w:ascii="Calibri" w:cs="Calibri" w:eastAsia="Calibri" w:hAnsi="Calibri"/>
          <w:color w:val="1B1B1B"/>
          <w:sz w:val="22"/>
          <w:szCs w:val="22"/>
        </w:rPr>
        <w:t xml:space="preserve">Cocoa shell as livestock-feed input or compost; cocoa pod husks as biogas feedstock; minimal current regional commercial scale.</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Bean moisture: 7–8% maximum for export-grade.</w:t>
      </w:r>
    </w:p>
    <w:p>
      <w:pPr>
        <w:pStyle w:val="ListParagraph"/>
        <w:numPr>
          <w:ilvl w:val="0"/>
          <w:numId w:val="2"/>
        </w:numPr>
        <w:spacing w:after="80" w:line="290"/>
      </w:pPr>
      <w:r>
        <w:rPr>
          <w:rFonts w:ascii="Calibri" w:cs="Calibri" w:eastAsia="Calibri" w:hAnsi="Calibri"/>
          <w:color w:val="1B1B1B"/>
          <w:sz w:val="22"/>
          <w:szCs w:val="22"/>
        </w:rPr>
        <w:t xml:space="preserve">Fermentation grade: 50%+ fully fermented beans for premium-grade; 30–50% for fair-grade; below 30% rejected.</w:t>
      </w:r>
    </w:p>
    <w:p>
      <w:pPr>
        <w:pStyle w:val="ListParagraph"/>
        <w:numPr>
          <w:ilvl w:val="0"/>
          <w:numId w:val="2"/>
        </w:numPr>
        <w:spacing w:after="80" w:line="290"/>
      </w:pPr>
      <w:r>
        <w:rPr>
          <w:rFonts w:ascii="Calibri" w:cs="Calibri" w:eastAsia="Calibri" w:hAnsi="Calibri"/>
          <w:color w:val="1B1B1B"/>
          <w:sz w:val="22"/>
          <w:szCs w:val="22"/>
        </w:rPr>
        <w:t xml:space="preserve">Bean count: 90–100 beans per 100 g for premium-grade; 100–120 for fair-grade.</w:t>
      </w:r>
    </w:p>
    <w:p>
      <w:pPr>
        <w:pStyle w:val="ListParagraph"/>
        <w:numPr>
          <w:ilvl w:val="0"/>
          <w:numId w:val="2"/>
        </w:numPr>
        <w:spacing w:after="80" w:line="290"/>
      </w:pPr>
      <w:r>
        <w:rPr>
          <w:rFonts w:ascii="Calibri" w:cs="Calibri" w:eastAsia="Calibri" w:hAnsi="Calibri"/>
          <w:color w:val="1B1B1B"/>
          <w:sz w:val="22"/>
          <w:szCs w:val="22"/>
        </w:rPr>
        <w:t xml:space="preserve">Defect tolerance: typically maximum 3% mouldy, slaty, or insect-damaged beans for premium-grade.</w:t>
      </w:r>
    </w:p>
    <w:p>
      <w:pPr>
        <w:pStyle w:val="ListParagraph"/>
        <w:numPr>
          <w:ilvl w:val="0"/>
          <w:numId w:val="2"/>
        </w:numPr>
        <w:spacing w:after="80" w:line="290"/>
      </w:pPr>
      <w:r>
        <w:rPr>
          <w:rFonts w:ascii="Calibri" w:cs="Calibri" w:eastAsia="Calibri" w:hAnsi="Calibri"/>
          <w:color w:val="1B1B1B"/>
          <w:sz w:val="22"/>
          <w:szCs w:val="22"/>
        </w:rPr>
        <w:t xml:space="preserve">Foreign matter: typically maximum 0.5% for export-grade.</w:t>
      </w:r>
    </w:p>
    <w:p>
      <w:pPr>
        <w:pStyle w:val="ListParagraph"/>
        <w:numPr>
          <w:ilvl w:val="0"/>
          <w:numId w:val="2"/>
        </w:numPr>
        <w:spacing w:after="80" w:line="290"/>
      </w:pPr>
      <w:r>
        <w:rPr>
          <w:rFonts w:ascii="Calibri" w:cs="Calibri" w:eastAsia="Calibri" w:hAnsi="Calibri"/>
          <w:color w:val="1B1B1B"/>
          <w:sz w:val="22"/>
          <w:szCs w:val="22"/>
        </w:rPr>
        <w:t xml:space="preserve">Free fatty acid (FFA) of cocoa butter: typically maximum 1.75% for export-grade.</w:t>
      </w:r>
    </w:p>
    <w:p>
      <w:pPr>
        <w:pStyle w:val="ListParagraph"/>
        <w:numPr>
          <w:ilvl w:val="0"/>
          <w:numId w:val="2"/>
        </w:numPr>
        <w:spacing w:after="80" w:line="290"/>
      </w:pPr>
      <w:r>
        <w:rPr>
          <w:rFonts w:ascii="Calibri" w:cs="Calibri" w:eastAsia="Calibri" w:hAnsi="Calibri"/>
          <w:color w:val="1B1B1B"/>
          <w:sz w:val="22"/>
          <w:szCs w:val="22"/>
        </w:rPr>
        <w:t xml:space="preserve">Certification: KEBS, TBS, UNBS standards; export-grade requires phytosanitary certification; Fairtrade, Rainforest Alliance, organic certifications for premium specialty markets; cocoa-and-forest-initiative (CFI) deforestation-free certification emerging.</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regional imports. Aggregators: limited; emerging Coast and Mt Kenya pilot programmes.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Equipment: TARI Mlingano; private commercial suppliers. Aggregators: Olam Cocoa Tanzania (the regional anchor for cocoa export); Cargill Cocoa; Theo Chocolate (premium specialty); cooperative networks in Mbeya, Kagera.</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Equipment: NaCRRI-linked networks; emerging private suppliers. Aggregators: Esco Kakao (the Bundibugyo specialty operator); emerging Western Uganda cooperative networks; Olam Cocoa Uganda; Volcafe Cocoa division.</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Limited commercial cocoa supply at scale; pilot programmes only.</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Limited commercial cocoa supply.</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Cocoa post-harvest is the regional emerging-cash-crop story — fermentation-discipline-anchored, structurally premium-trajectory, geographically concentrated in Tanzanian Mbeya-Kagera and Ugandan Bundibugyo, with rising commercial momentum through 2024–2026 specialty channels.</w:t>
      </w:r>
    </w:p>
    <w:p>
      <w:pPr>
        <w:spacing w:after="120" w:line="300"/>
      </w:pPr>
      <w:r>
        <w:rPr>
          <w:rFonts w:ascii="Calibri" w:cs="Calibri" w:eastAsia="Calibri" w:hAnsi="Calibri"/>
          <w:color w:val="1B1B1B"/>
          <w:sz w:val="22"/>
          <w:szCs w:val="22"/>
        </w:rPr>
        <w:t xml:space="preserve">For smallholder cocoa producers, the actionable rule is participation in cooperative-and-commercial fermentation aggregator networks; informal heap-fermentation produces commodity-grade output that surrenders structural premium. For commercial operators and impact investors, scaling fermentation-and-drying infrastructure into Tanzanian Mbeya-Kagera and Ugandan Bundibugyo production zones represents an emerging premium specialty commercial trajectory — paralleling the Rwandan-coffee transformation that the Series has documented elsewhere.</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03</w:t>
            </w:r>
          </w:p>
          <w:p>
            <w:pPr>
              <w:spacing w:after="40"/>
            </w:pPr>
            <w:r>
              <w:rPr>
                <w:rFonts w:ascii="Calibri" w:cs="Calibri" w:eastAsia="Calibri" w:hAnsi="Calibri"/>
                <w:b/>
                <w:bCs/>
                <w:color w:val="FFFFFF"/>
                <w:sz w:val="36"/>
                <w:szCs w:val="36"/>
              </w:rPr>
              <w:t xml:space="preserve">Tea</w:t>
            </w:r>
          </w:p>
          <w:p>
            <w:r>
              <w:rPr>
                <w:rFonts w:ascii="Calibri" w:cs="Calibri" w:eastAsia="Calibri" w:hAnsi="Calibri"/>
                <w:i/>
                <w:iCs/>
                <w:color w:val="FFFFFF"/>
                <w:sz w:val="20"/>
                <w:szCs w:val="20"/>
              </w:rPr>
              <w:t xml:space="preserve">Camellia sinensis</w:t>
            </w:r>
            <w:r>
              <w:rPr>
                <w:rFonts w:ascii="Calibri" w:cs="Calibri" w:eastAsia="Calibri" w:hAnsi="Calibri"/>
                <w:color w:val="FFFFFF"/>
                <w:sz w:val="20"/>
                <w:szCs w:val="20"/>
              </w:rPr>
              <w:t xml:space="preserve">   •   Chai (Sw)  •  The regional smallholder-factory cash crop</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5–10% post-harvest loss (smallholder green-leaf to factory)</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Made-tea moisture target 3–6% (post-fermentation, post-firing)</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Made-tea in tea-chests or multi-walled paper bags; cool, dry, odour-free storage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Kenya (the regional production-and-export leader — Mt Kenya, Aberdares, Mau, Western); Tanzania (Mufindi, Iringa, Tukuyu, Usambara); Uganda (Mityana, Mbarara, Kabarole); Rwanda (Mulindi, Sorwathe, Mata); Burundi (Teza, Rwegura)</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Tea is East Africa’s smallholder-cooperative-factory cash-crop reference model. Kenya is the regional production-and-export leader and the world’s third-largest tea producer (after China and India). The Kenya Tea Development Agency (KTDA) operates the regional reference smallholder-factory model: smallholder producers deliver fresh green leaves daily to centralised factories that process within hours of plucking, producing made-tea for the Mombasa Tea Auction — the largest tea trading floor in the world by volume. Tanzania, Uganda, Rwanda and Burundi production are smaller but operate similar structural models with country-level variations.</w:t>
      </w:r>
    </w:p>
    <w:p>
      <w:pPr>
        <w:spacing w:after="120" w:line="300"/>
      </w:pPr>
      <w:r>
        <w:rPr>
          <w:rFonts w:ascii="Calibri" w:cs="Calibri" w:eastAsia="Calibri" w:hAnsi="Calibri"/>
          <w:color w:val="1B1B1B"/>
          <w:sz w:val="22"/>
          <w:szCs w:val="22"/>
        </w:rPr>
        <w:t xml:space="preserve">Tea post-harvest economics are dominated by the green-leaf-to-factory speed discipline and by the Mombasa auction structural framework. Fresh green leaves must reach the factory within 6–12 hours of plucking for premium-grade processing; cooperative-and-factory transport infrastructure decides this; auction-grade made-tea quality determines smallholder-payout-per-kilogramme calculations through complex KTDA and equivalent payment structures. Tea is the regional crop where smallholder-cooperative-factory commercial integration is most fully developed and where the auction-driven commodity discipline is most structurally rigorous.</w:t>
      </w:r>
    </w:p>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79B93E" w:sz="18"/>
              <w:left w:val="none" w:color="FFFFFF" w:sz="0"/>
              <w:bottom w:val="single" w:color="79B93E" w:sz="4"/>
              <w:right w:val="none" w:color="FFFFFF" w:sz="0"/>
            </w:tcBorders>
            <w:shd w:fill="E8F1E2" w:val="clear"/>
            <w:tcMar>
              <w:top w:type="dxa" w:w="200"/>
              <w:left w:type="dxa" w:w="280"/>
              <w:bottom w:type="dxa" w:w="200"/>
              <w:right w:type="dxa" w:w="280"/>
            </w:tcMar>
          </w:tcPr>
          <w:p>
            <w:pPr>
              <w:spacing w:after="100"/>
            </w:pPr>
            <w:r>
              <w:rPr>
                <w:rFonts w:ascii="Calibri" w:cs="Calibri" w:eastAsia="Calibri" w:hAnsi="Calibri"/>
                <w:b/>
                <w:bCs/>
                <w:color w:val="2E7D32"/>
                <w:spacing w:val="40"/>
                <w:sz w:val="18"/>
                <w:szCs w:val="18"/>
              </w:rPr>
              <w:t xml:space="preserve">THE TEA AUCTION SYSTEM: MOMBASA AND BEYOND</w:t>
            </w:r>
          </w:p>
          <w:p>
            <w:pPr>
              <w:spacing w:after="100" w:line="290"/>
            </w:pPr>
            <w:r>
              <w:rPr>
                <w:rFonts w:ascii="Calibri" w:cs="Calibri" w:eastAsia="Calibri" w:hAnsi="Calibri"/>
                <w:color w:val="1B1B1B"/>
                <w:sz w:val="21"/>
                <w:szCs w:val="21"/>
              </w:rPr>
              <w:t xml:space="preserve">The Mombasa Tea Auction is the largest tea trading floor in the world by volume. Established in 1956 and operated by the East African Tea Trade Association (EATTA), the auction handles tea from Kenya, Tanzania, Uganda, Rwanda, Burundi, Malawi, Mozambique, Zimbabwe, and the Democratic Republic of Congo — essentially all African tea destined for international export markets. Annual auction volume exceeds 400 million kilogrammes of made-tea.</w:t>
            </w:r>
          </w:p>
          <w:p>
            <w:pPr>
              <w:spacing w:after="100" w:line="290"/>
            </w:pPr>
            <w:r>
              <w:rPr>
                <w:rFonts w:ascii="Calibri" w:cs="Calibri" w:eastAsia="Calibri" w:hAnsi="Calibri"/>
                <w:color w:val="1B1B1B"/>
                <w:sz w:val="21"/>
                <w:szCs w:val="21"/>
              </w:rPr>
              <w:t xml:space="preserve">The auction infrastructure shapes regional tea post-harvest economics. EATTA-registered factories deliver classified made-tea consignments through licensed warehousing operators (Mitchell Cotts, Africa Tea Brokers, Tea Brokers East Africa, Combrok); auction tasting and pre-sale grading determine consignment classification; weekly Tuesday-and-Wednesday auction sessions establish commodity prices through competitive bidding; international buyers (Unilever, James Finlay, James Burrough, Twinings, Tata Tea, Indian and Pakistani buyers, Russian buyers, emerging Middle Eastern buyers) drive the demand side.</w:t>
            </w:r>
          </w:p>
          <w:p>
            <w:pPr>
              <w:spacing w:after="100" w:line="290"/>
            </w:pPr>
            <w:r>
              <w:rPr>
                <w:rFonts w:ascii="Calibri" w:cs="Calibri" w:eastAsia="Calibri" w:hAnsi="Calibri"/>
                <w:color w:val="1B1B1B"/>
                <w:sz w:val="21"/>
                <w:szCs w:val="21"/>
              </w:rPr>
              <w:t xml:space="preserve">The auction system disciplines factory quality. Factories that consistently produce premium-grade made-tea command premium auction prices and pay smallholder green-leaf suppliers higher per-kilogramme rates; factories with quality issues face declining auction prices and declining smallholder retention. The cycle anchors the regional tea quality discipline.</w:t>
            </w:r>
          </w:p>
          <w:p>
            <w:pPr>
              <w:spacing w:after="0" w:line="290"/>
            </w:pPr>
            <w:r>
              <w:rPr>
                <w:rFonts w:ascii="Calibri" w:cs="Calibri" w:eastAsia="Calibri" w:hAnsi="Calibri"/>
                <w:color w:val="1B1B1B"/>
                <w:sz w:val="21"/>
                <w:szCs w:val="21"/>
              </w:rPr>
              <w:t xml:space="preserve">Direct-trade and specialty channels are emerging alongside the auction. Rwandan single-origin specialty tea (Sorwathe, Pfunda, Mulindi) increasingly bypasses Mombasa auction for direct relationships with international specialty buyers; Kenyan single-origin and orthodox-process tea (Williamson, James Finlay’s Kericho operations, Sasini specialty division) follows similar patterns. The auction remains the regional volume anchor; specialty direct-trade is the emerging premium trajectory.</w:t>
            </w:r>
          </w:p>
        </w:tc>
      </w:tr>
    </w:tbl>
    <w:p>
      <w:r>
        <w:t xml:space="preserve"/>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Green-leaf plucking: </w:t>
      </w:r>
      <w:r>
        <w:rPr>
          <w:rFonts w:ascii="Calibri" w:cs="Calibri" w:eastAsia="Calibri" w:hAnsi="Calibri"/>
          <w:color w:val="1B1B1B"/>
          <w:sz w:val="22"/>
          <w:szCs w:val="22"/>
        </w:rPr>
        <w:t xml:space="preserve">Two-leaves-and-a-bud selective plucking is the regional premium-grade standard; coarser plucking reduces cup quality. Hand-plucking is dominant; mechanical-plucking limited regional adoption.</w:t>
      </w:r>
    </w:p>
    <w:p>
      <w:pPr>
        <w:pStyle w:val="ListParagraph"/>
        <w:numPr>
          <w:ilvl w:val="0"/>
          <w:numId w:val="2"/>
        </w:numPr>
        <w:spacing w:after="80" w:line="290"/>
      </w:pPr>
      <w:r>
        <w:rPr>
          <w:rFonts w:ascii="Calibri" w:cs="Calibri" w:eastAsia="Calibri" w:hAnsi="Calibri"/>
          <w:b/>
          <w:bCs/>
          <w:color w:val="1B1B1B"/>
          <w:sz w:val="22"/>
          <w:szCs w:val="22"/>
        </w:rPr>
        <w:t xml:space="preserve">Green-leaf transport (the speed discipline): </w:t>
      </w:r>
      <w:r>
        <w:rPr>
          <w:rFonts w:ascii="Calibri" w:cs="Calibri" w:eastAsia="Calibri" w:hAnsi="Calibri"/>
          <w:color w:val="1B1B1B"/>
          <w:sz w:val="22"/>
          <w:szCs w:val="22"/>
        </w:rPr>
        <w:t xml:space="preserve">Cooperative-and-factory leaf-collection systems must transport fresh green leaf to factory within 6–12 hours of plucking; KTDA collection-route infrastructure is the regional reference model.</w:t>
      </w:r>
    </w:p>
    <w:p>
      <w:pPr>
        <w:pStyle w:val="ListParagraph"/>
        <w:numPr>
          <w:ilvl w:val="0"/>
          <w:numId w:val="2"/>
        </w:numPr>
        <w:spacing w:after="80" w:line="290"/>
      </w:pPr>
      <w:r>
        <w:rPr>
          <w:rFonts w:ascii="Calibri" w:cs="Calibri" w:eastAsia="Calibri" w:hAnsi="Calibri"/>
          <w:b/>
          <w:bCs/>
          <w:color w:val="1B1B1B"/>
          <w:sz w:val="22"/>
          <w:szCs w:val="22"/>
        </w:rPr>
        <w:t xml:space="preserve">Withering: </w:t>
      </w:r>
      <w:r>
        <w:rPr>
          <w:rFonts w:ascii="Calibri" w:cs="Calibri" w:eastAsia="Calibri" w:hAnsi="Calibri"/>
          <w:color w:val="1B1B1B"/>
          <w:sz w:val="22"/>
          <w:szCs w:val="22"/>
        </w:rPr>
        <w:t xml:space="preserve">Factory withering of fresh green leaf for 12–18 hours under controlled airflow to reduce moisture from 75–80% to 50–60%; physical condition prepares leaf for subsequent rolling and fermentation.</w:t>
      </w:r>
    </w:p>
    <w:p>
      <w:pPr>
        <w:pStyle w:val="ListParagraph"/>
        <w:numPr>
          <w:ilvl w:val="0"/>
          <w:numId w:val="2"/>
        </w:numPr>
        <w:spacing w:after="80" w:line="290"/>
      </w:pPr>
      <w:r>
        <w:rPr>
          <w:rFonts w:ascii="Calibri" w:cs="Calibri" w:eastAsia="Calibri" w:hAnsi="Calibri"/>
          <w:b/>
          <w:bCs/>
          <w:color w:val="1B1B1B"/>
          <w:sz w:val="22"/>
          <w:szCs w:val="22"/>
        </w:rPr>
        <w:t xml:space="preserve">Rolling / CTC processing: </w:t>
      </w:r>
      <w:r>
        <w:rPr>
          <w:rFonts w:ascii="Calibri" w:cs="Calibri" w:eastAsia="Calibri" w:hAnsi="Calibri"/>
          <w:color w:val="1B1B1B"/>
          <w:sz w:val="22"/>
          <w:szCs w:val="22"/>
        </w:rPr>
        <w:t xml:space="preserve">Cut-Tear-Curl (CTC) rolling produces the regional black-tea standard; orthodox rolling produces premium long-leaf grades for specialty markets. CTC factories: KTDA standard; orthodox factories: Williamson, James Finlay specialty divisions.</w:t>
      </w:r>
    </w:p>
    <w:p>
      <w:pPr>
        <w:pStyle w:val="ListParagraph"/>
        <w:numPr>
          <w:ilvl w:val="0"/>
          <w:numId w:val="2"/>
        </w:numPr>
        <w:spacing w:after="80" w:line="290"/>
      </w:pPr>
      <w:r>
        <w:rPr>
          <w:rFonts w:ascii="Calibri" w:cs="Calibri" w:eastAsia="Calibri" w:hAnsi="Calibri"/>
          <w:b/>
          <w:bCs/>
          <w:color w:val="1B1B1B"/>
          <w:sz w:val="22"/>
          <w:szCs w:val="22"/>
        </w:rPr>
        <w:t xml:space="preserve">Fermentation (oxidation): </w:t>
      </w:r>
      <w:r>
        <w:rPr>
          <w:rFonts w:ascii="Calibri" w:cs="Calibri" w:eastAsia="Calibri" w:hAnsi="Calibri"/>
          <w:color w:val="1B1B1B"/>
          <w:sz w:val="22"/>
          <w:szCs w:val="22"/>
        </w:rPr>
        <w:t xml:space="preserve">Rolled-leaf oxidation under controlled humidity-and-temperature for 80–120 minutes; the discipline determines black-tea liquor colour and cup character.</w:t>
      </w:r>
    </w:p>
    <w:p>
      <w:pPr>
        <w:pStyle w:val="ListParagraph"/>
        <w:numPr>
          <w:ilvl w:val="0"/>
          <w:numId w:val="2"/>
        </w:numPr>
        <w:spacing w:after="80" w:line="290"/>
      </w:pPr>
      <w:r>
        <w:rPr>
          <w:rFonts w:ascii="Calibri" w:cs="Calibri" w:eastAsia="Calibri" w:hAnsi="Calibri"/>
          <w:b/>
          <w:bCs/>
          <w:color w:val="1B1B1B"/>
          <w:sz w:val="22"/>
          <w:szCs w:val="22"/>
        </w:rPr>
        <w:t xml:space="preserve">Firing (drying): </w:t>
      </w:r>
      <w:r>
        <w:rPr>
          <w:rFonts w:ascii="Calibri" w:cs="Calibri" w:eastAsia="Calibri" w:hAnsi="Calibri"/>
          <w:color w:val="1B1B1B"/>
          <w:sz w:val="22"/>
          <w:szCs w:val="22"/>
        </w:rPr>
        <w:t xml:space="preserve">Mechanical firing dryers reduce fermented-leaf moisture to 3–6% target; the firing step terminates oxidation and produces shelf-stable made-tea.</w:t>
      </w:r>
    </w:p>
    <w:p>
      <w:pPr>
        <w:pStyle w:val="ListParagraph"/>
        <w:numPr>
          <w:ilvl w:val="0"/>
          <w:numId w:val="2"/>
        </w:numPr>
        <w:spacing w:after="80" w:line="290"/>
      </w:pPr>
      <w:r>
        <w:rPr>
          <w:rFonts w:ascii="Calibri" w:cs="Calibri" w:eastAsia="Calibri" w:hAnsi="Calibri"/>
          <w:b/>
          <w:bCs/>
          <w:color w:val="1B1B1B"/>
          <w:sz w:val="22"/>
          <w:szCs w:val="22"/>
        </w:rPr>
        <w:t xml:space="preserve">Sorting and grading (the post-firing classification): </w:t>
      </w:r>
      <w:r>
        <w:rPr>
          <w:rFonts w:ascii="Calibri" w:cs="Calibri" w:eastAsia="Calibri" w:hAnsi="Calibri"/>
          <w:color w:val="1B1B1B"/>
          <w:sz w:val="22"/>
          <w:szCs w:val="22"/>
        </w:rPr>
        <w:t xml:space="preserve">Mechanical sieves and graders classify made-tea by leaf size: BP1, PF1 (broken-pekoe primary, pekoe-fanning primary — premium grades); D1, F1 (dust grades — commodity); plus 30+ additional grade classifications.</w:t>
      </w:r>
    </w:p>
    <w:p>
      <w:pPr>
        <w:pStyle w:val="ListParagraph"/>
        <w:numPr>
          <w:ilvl w:val="0"/>
          <w:numId w:val="2"/>
        </w:numPr>
        <w:spacing w:after="80" w:line="290"/>
      </w:pPr>
      <w:r>
        <w:rPr>
          <w:rFonts w:ascii="Calibri" w:cs="Calibri" w:eastAsia="Calibri" w:hAnsi="Calibri"/>
          <w:b/>
          <w:bCs/>
          <w:color w:val="1B1B1B"/>
          <w:sz w:val="22"/>
          <w:szCs w:val="22"/>
        </w:rPr>
        <w:t xml:space="preserve">Storage: </w:t>
      </w:r>
      <w:r>
        <w:rPr>
          <w:rFonts w:ascii="Calibri" w:cs="Calibri" w:eastAsia="Calibri" w:hAnsi="Calibri"/>
          <w:color w:val="1B1B1B"/>
          <w:sz w:val="22"/>
          <w:szCs w:val="22"/>
        </w:rPr>
        <w:t xml:space="preserve">Cool, dry, odour-free warehousing in tea-chests (traditional plywood) or multi-walled paper bags (modern); 6–12 month shelf life at proper storage.</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Factory processing (the regional standard): </w:t>
      </w:r>
      <w:r>
        <w:rPr>
          <w:rFonts w:ascii="Calibri" w:cs="Calibri" w:eastAsia="Calibri" w:hAnsi="Calibri"/>
          <w:color w:val="1B1B1B"/>
          <w:sz w:val="22"/>
          <w:szCs w:val="22"/>
        </w:rPr>
        <w:t xml:space="preserve">Smallholder-cooperative factories operating CTC processing produce 95% of regional made-tea volume. KTDA Kenya operates 70+ factories; Tanzania Tea Authority (Watco), Mufindi Tea, TPC, Wakulima cooperative; Uganda Mityana, Mukwano-tea-affiliated and BUGISU-area factories; Rwanda Sorwathe, Pfunda, Mulindi, Mata; Burundi OTB-coordinated factories.</w:t>
      </w:r>
    </w:p>
    <w:p>
      <w:pPr>
        <w:pStyle w:val="ListParagraph"/>
        <w:numPr>
          <w:ilvl w:val="0"/>
          <w:numId w:val="2"/>
        </w:numPr>
        <w:spacing w:after="80" w:line="290"/>
      </w:pPr>
      <w:r>
        <w:rPr>
          <w:rFonts w:ascii="Calibri" w:cs="Calibri" w:eastAsia="Calibri" w:hAnsi="Calibri"/>
          <w:b/>
          <w:bCs/>
          <w:color w:val="1B1B1B"/>
          <w:sz w:val="22"/>
          <w:szCs w:val="22"/>
        </w:rPr>
        <w:t xml:space="preserve">Auction packaging: </w:t>
      </w:r>
      <w:r>
        <w:rPr>
          <w:rFonts w:ascii="Calibri" w:cs="Calibri" w:eastAsia="Calibri" w:hAnsi="Calibri"/>
          <w:color w:val="1B1B1B"/>
          <w:sz w:val="22"/>
          <w:szCs w:val="22"/>
        </w:rPr>
        <w:t xml:space="preserve">Made-tea packaging in foil-lined paper sacks, carton boxes, or tea-chests for auction consignment; bulk-packing standards are EATTA-aligned.</w:t>
      </w:r>
    </w:p>
    <w:p>
      <w:pPr>
        <w:pStyle w:val="ListParagraph"/>
        <w:numPr>
          <w:ilvl w:val="0"/>
          <w:numId w:val="2"/>
        </w:numPr>
        <w:spacing w:after="80" w:line="290"/>
      </w:pPr>
      <w:r>
        <w:rPr>
          <w:rFonts w:ascii="Calibri" w:cs="Calibri" w:eastAsia="Calibri" w:hAnsi="Calibri"/>
          <w:b/>
          <w:bCs/>
          <w:color w:val="1B1B1B"/>
          <w:sz w:val="22"/>
          <w:szCs w:val="22"/>
        </w:rPr>
        <w:t xml:space="preserve">Specialty orthodox processing (premium channel): </w:t>
      </w:r>
      <w:r>
        <w:rPr>
          <w:rFonts w:ascii="Calibri" w:cs="Calibri" w:eastAsia="Calibri" w:hAnsi="Calibri"/>
          <w:color w:val="1B1B1B"/>
          <w:sz w:val="22"/>
          <w:szCs w:val="22"/>
        </w:rPr>
        <w:t xml:space="preserve">Long-leaf orthodox processing for premium specialty markets; Williamson, James Finlay, Sasini Kenya specialty divisions; emerging single-origin specialty operators.</w:t>
      </w:r>
    </w:p>
    <w:p>
      <w:pPr>
        <w:pStyle w:val="ListParagraph"/>
        <w:numPr>
          <w:ilvl w:val="0"/>
          <w:numId w:val="2"/>
        </w:numPr>
        <w:spacing w:after="80" w:line="290"/>
      </w:pPr>
      <w:r>
        <w:rPr>
          <w:rFonts w:ascii="Calibri" w:cs="Calibri" w:eastAsia="Calibri" w:hAnsi="Calibri"/>
          <w:b/>
          <w:bCs/>
          <w:color w:val="1B1B1B"/>
          <w:sz w:val="22"/>
          <w:szCs w:val="22"/>
        </w:rPr>
        <w:t xml:space="preserve">Tea blending and packaging (limited regional commercial): </w:t>
      </w:r>
      <w:r>
        <w:rPr>
          <w:rFonts w:ascii="Calibri" w:cs="Calibri" w:eastAsia="Calibri" w:hAnsi="Calibri"/>
          <w:color w:val="1B1B1B"/>
          <w:sz w:val="22"/>
          <w:szCs w:val="22"/>
        </w:rPr>
        <w:t xml:space="preserve">Limited regional retail tea-blending-and-packaging scale relative to underlying production; emerging Kenyan-tea-brand premium retail operators (Sasini specialty, Williamson tea, KTDA-branded retail).</w:t>
      </w:r>
    </w:p>
    <w:p>
      <w:pPr>
        <w:pStyle w:val="ListParagraph"/>
        <w:numPr>
          <w:ilvl w:val="0"/>
          <w:numId w:val="2"/>
        </w:numPr>
        <w:spacing w:after="80" w:line="290"/>
      </w:pPr>
      <w:r>
        <w:rPr>
          <w:rFonts w:ascii="Calibri" w:cs="Calibri" w:eastAsia="Calibri" w:hAnsi="Calibri"/>
          <w:b/>
          <w:bCs/>
          <w:color w:val="1B1B1B"/>
          <w:sz w:val="22"/>
          <w:szCs w:val="22"/>
        </w:rPr>
        <w:t xml:space="preserve">Specialty value-add: </w:t>
      </w:r>
      <w:r>
        <w:rPr>
          <w:rFonts w:ascii="Calibri" w:cs="Calibri" w:eastAsia="Calibri" w:hAnsi="Calibri"/>
          <w:color w:val="1B1B1B"/>
          <w:sz w:val="22"/>
          <w:szCs w:val="22"/>
        </w:rPr>
        <w:t xml:space="preserve">Single-origin specialty tea; orthodox long-leaf grades; flavoured and herbal-blend tea; ready-to-drink iced tea (limited regional commercial scale); emerging organic-certified single-origin specialty operators.</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Made-tea moisture: 3–6% target after firing.</w:t>
      </w:r>
    </w:p>
    <w:p>
      <w:pPr>
        <w:pStyle w:val="ListParagraph"/>
        <w:numPr>
          <w:ilvl w:val="0"/>
          <w:numId w:val="2"/>
        </w:numPr>
        <w:spacing w:after="80" w:line="290"/>
      </w:pPr>
      <w:r>
        <w:rPr>
          <w:rFonts w:ascii="Calibri" w:cs="Calibri" w:eastAsia="Calibri" w:hAnsi="Calibri"/>
          <w:color w:val="1B1B1B"/>
          <w:sz w:val="22"/>
          <w:szCs w:val="22"/>
        </w:rPr>
        <w:t xml:space="preserve">EATTA / regional auction grading: BP1, PF1 (premium); BOP, BOPF (broken-orange-pekoe grades); D1, F1 (dust grades — commodity).</w:t>
      </w:r>
    </w:p>
    <w:p>
      <w:pPr>
        <w:pStyle w:val="ListParagraph"/>
        <w:numPr>
          <w:ilvl w:val="0"/>
          <w:numId w:val="2"/>
        </w:numPr>
        <w:spacing w:after="80" w:line="290"/>
      </w:pPr>
      <w:r>
        <w:rPr>
          <w:rFonts w:ascii="Calibri" w:cs="Calibri" w:eastAsia="Calibri" w:hAnsi="Calibri"/>
          <w:color w:val="1B1B1B"/>
          <w:sz w:val="22"/>
          <w:szCs w:val="22"/>
        </w:rPr>
        <w:t xml:space="preserve">Total ash content: typically maximum 8% for export-grade.</w:t>
      </w:r>
    </w:p>
    <w:p>
      <w:pPr>
        <w:pStyle w:val="ListParagraph"/>
        <w:numPr>
          <w:ilvl w:val="0"/>
          <w:numId w:val="2"/>
        </w:numPr>
        <w:spacing w:after="80" w:line="290"/>
      </w:pPr>
      <w:r>
        <w:rPr>
          <w:rFonts w:ascii="Calibri" w:cs="Calibri" w:eastAsia="Calibri" w:hAnsi="Calibri"/>
          <w:color w:val="1B1B1B"/>
          <w:sz w:val="22"/>
          <w:szCs w:val="22"/>
        </w:rPr>
        <w:t xml:space="preserve">Water-soluble extract: typically minimum 32% for premium-grade.</w:t>
      </w:r>
    </w:p>
    <w:p>
      <w:pPr>
        <w:pStyle w:val="ListParagraph"/>
        <w:numPr>
          <w:ilvl w:val="0"/>
          <w:numId w:val="2"/>
        </w:numPr>
        <w:spacing w:after="80" w:line="290"/>
      </w:pPr>
      <w:r>
        <w:rPr>
          <w:rFonts w:ascii="Calibri" w:cs="Calibri" w:eastAsia="Calibri" w:hAnsi="Calibri"/>
          <w:color w:val="1B1B1B"/>
          <w:sz w:val="22"/>
          <w:szCs w:val="22"/>
        </w:rPr>
        <w:t xml:space="preserve">Caffeine content: typically 2.5–4.5% (varies by variety and processing).</w:t>
      </w:r>
    </w:p>
    <w:p>
      <w:pPr>
        <w:pStyle w:val="ListParagraph"/>
        <w:numPr>
          <w:ilvl w:val="0"/>
          <w:numId w:val="2"/>
        </w:numPr>
        <w:spacing w:after="80" w:line="290"/>
      </w:pPr>
      <w:r>
        <w:rPr>
          <w:rFonts w:ascii="Calibri" w:cs="Calibri" w:eastAsia="Calibri" w:hAnsi="Calibri"/>
          <w:color w:val="1B1B1B"/>
          <w:sz w:val="22"/>
          <w:szCs w:val="22"/>
        </w:rPr>
        <w:t xml:space="preserve">Pesticide residue: maximum residue limits (MRLs) per EU and Japanese import standards; Kenyan tea has historically met EU specifications consistently.</w:t>
      </w:r>
    </w:p>
    <w:p>
      <w:pPr>
        <w:pStyle w:val="ListParagraph"/>
        <w:numPr>
          <w:ilvl w:val="0"/>
          <w:numId w:val="2"/>
        </w:numPr>
        <w:spacing w:after="80" w:line="290"/>
      </w:pPr>
      <w:r>
        <w:rPr>
          <w:rFonts w:ascii="Calibri" w:cs="Calibri" w:eastAsia="Calibri" w:hAnsi="Calibri"/>
          <w:color w:val="1B1B1B"/>
          <w:sz w:val="22"/>
          <w:szCs w:val="22"/>
        </w:rPr>
        <w:t xml:space="preserve">Certification: KEBS, TBS, UNBS, RSB, BBS standards; specialty markets require Rainforest Alliance, Fairtrade, organic certifications.</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McKinnon CTC machinery distributors; KTDA-affiliated equipment networks; Tea Research Foundation (now KALRO Tea division). Factory operators: KTDA (the regional reference smallholder-factory model with 70+ factories); Sasini Tea; Williamson Tea; James Finlay (Kericho); Unilever Tea Kenya. Brokers and auction: East African Tea Trade Association (EATTA); Mitchell Cotts, Africa Tea Brokers, Tea Brokers East Africa, Combrok.</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Equipment: regional suppliers; Tanzania Tea Research Institute (TRIT). Factory operators: Tanzania Tea Authority / Tea Board (TBT); Watco; Mufindi Tea; TPC; Wakulima cooperative. Brokers: Mombasa auction.</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Equipment: regional suppliers. Factory operators: Mityana Tea; Mukwano-affiliated tea division; Bugisu-area factories; James Finlay Uganda. Brokers: Mombasa auction.</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Equipment: regional imports. Factory operators: NAEB-coordinated; Sorwathe; Pfunda; Mulindi; Mata; Gisakura; Gisovu; Kitabi; Nyabihu. Brokers: Mombasa auction; emerging direct-trade specialty channels.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Equipment: regional imports. Factory operators: OTB (Office du Thé du Burundi); Teza; Rwegura. Brokers: Mombasa auction.</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Tea post-harvest is the regional consolidated smallholder-cooperative-factory-auction commercial reference model — KTDA-anchored, EATTA-disciplined, geographically distributed across all five East African countries plus broader regional integration through Mombasa auction. The model works at scale and continues to evolve through emerging specialty direct-trade channels.</w:t>
      </w:r>
    </w:p>
    <w:p>
      <w:pPr>
        <w:spacing w:after="120" w:line="300"/>
      </w:pPr>
      <w:r>
        <w:rPr>
          <w:rFonts w:ascii="Calibri" w:cs="Calibri" w:eastAsia="Calibri" w:hAnsi="Calibri"/>
          <w:color w:val="1B1B1B"/>
          <w:sz w:val="22"/>
          <w:szCs w:val="22"/>
        </w:rPr>
        <w:t xml:space="preserve">For smallholder tea growers, the actionable rule is participation in factory-aggregator networks with quality-graded green-leaf delivery; informal-channel green-leaf trade carries quality discount and limited route to international export markets. For commercial operators and impact investors, scaling specialty orthodox processing infrastructure and direct-trade channel development in Rwandan, Kenyan, and Ugandan single-origin zones represents the emerging premium commercial trajectory. For governments, maintaining EATTA-aligned auction discipline and KTDA-equivalent smallholder-factory frameworks anchors the regional public-sector contribution.</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04</w:t>
            </w:r>
          </w:p>
          <w:p>
            <w:pPr>
              <w:spacing w:after="40"/>
            </w:pPr>
            <w:r>
              <w:rPr>
                <w:rFonts w:ascii="Calibri" w:cs="Calibri" w:eastAsia="Calibri" w:hAnsi="Calibri"/>
                <w:b/>
                <w:bCs/>
                <w:color w:val="FFFFFF"/>
                <w:sz w:val="36"/>
                <w:szCs w:val="36"/>
              </w:rPr>
              <w:t xml:space="preserve">Tobacco</w:t>
            </w:r>
          </w:p>
          <w:p>
            <w:r>
              <w:rPr>
                <w:rFonts w:ascii="Calibri" w:cs="Calibri" w:eastAsia="Calibri" w:hAnsi="Calibri"/>
                <w:i/>
                <w:iCs/>
                <w:color w:val="FFFFFF"/>
                <w:sz w:val="20"/>
                <w:szCs w:val="20"/>
              </w:rPr>
              <w:t xml:space="preserve">Nicotiana tabacum</w:t>
            </w:r>
            <w:r>
              <w:rPr>
                <w:rFonts w:ascii="Calibri" w:cs="Calibri" w:eastAsia="Calibri" w:hAnsi="Calibri"/>
                <w:color w:val="FFFFFF"/>
                <w:sz w:val="20"/>
                <w:szCs w:val="20"/>
              </w:rPr>
              <w:t xml:space="preserve">   •   Tumbaku (Sw)  •  The contracted-grower-and-curing cash crop</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5–12% post-harvest loss (contracted-grower model; informal trade higher)</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Cured leaf moisture target 12–18% depending on type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Cured-leaf bales in controlled-humidity warehouses; phosphine fumigation</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Tabora &amp; Kigoma &amp; Singida TZ (the regional production leader); Western &amp; Lake Albert UG; minor Bunyala &amp; Coastal KE; minor RW; minor BI</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Tobacco is East Africa’s contracted-grower cash crop with the most disciplined post-harvest infrastructure of any regional crop. The structure is comprehensive: international tobacco companies (BAT — British American Tobacco, Alliance One Tobacco / Pyxus, Universal Leaf, Mastermind Tobacco) contract directly with smallholder growers; supply seed, agronomic input, and curing-barn finance; specify harvesting schedules; provide curing protocols; aggregate cured leaf at controlled-humidity warehouses; and grade-and-export through tightly-managed quality-disciplined channels. Tanzania anchors regional production through Tabora, Kigoma and Singida; Uganda contributes through Western and Lake Albert region; Kenya production has declined but persists in Bunyala and Coastal areas.</w:t>
      </w:r>
    </w:p>
    <w:p>
      <w:pPr>
        <w:spacing w:after="120" w:line="300"/>
      </w:pPr>
      <w:r>
        <w:rPr>
          <w:rFonts w:ascii="Calibri" w:cs="Calibri" w:eastAsia="Calibri" w:hAnsi="Calibri"/>
          <w:color w:val="1B1B1B"/>
          <w:sz w:val="22"/>
          <w:szCs w:val="22"/>
        </w:rPr>
        <w:t xml:space="preserve">Tobacco post-harvest economics are dominated by the curing discipline. Three principal cured tobacco types shape regional production: flue-cured Virginia (the dominant regional type, cured in heated barns over 5–7 days to produce the bright, fully-ripened leaf used in cigarette manufacturing), air-cured Burley (cured naturally in ventilated barns over 6–8 weeks to produce the lighter-bodied leaf used in blended cigarettes), and sun-cured Oriental (limited regional production). The curing protocol determines downstream commercial value; deviation from contracted protocol produces grade-rejection that can wipe out a season’s production margin.</w:t>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Selective leaf priming: </w:t>
      </w:r>
      <w:r>
        <w:rPr>
          <w:rFonts w:ascii="Calibri" w:cs="Calibri" w:eastAsia="Calibri" w:hAnsi="Calibri"/>
          <w:color w:val="1B1B1B"/>
          <w:sz w:val="22"/>
          <w:szCs w:val="22"/>
        </w:rPr>
        <w:t xml:space="preserve">Tobacco leaves mature sequentially up the plant stalk; selective hand-priming harvests ripe leaves over 6–8 priming rounds across 8–12 weeks of harvest season. The priming discipline determines curing outcomes.</w:t>
      </w:r>
    </w:p>
    <w:p>
      <w:pPr>
        <w:pStyle w:val="ListParagraph"/>
        <w:numPr>
          <w:ilvl w:val="0"/>
          <w:numId w:val="2"/>
        </w:numPr>
        <w:spacing w:after="80" w:line="290"/>
      </w:pPr>
      <w:r>
        <w:rPr>
          <w:rFonts w:ascii="Calibri" w:cs="Calibri" w:eastAsia="Calibri" w:hAnsi="Calibri"/>
          <w:b/>
          <w:bCs/>
          <w:color w:val="1B1B1B"/>
          <w:sz w:val="22"/>
          <w:szCs w:val="22"/>
        </w:rPr>
        <w:t xml:space="preserve">Leaf transport to curing barn: </w:t>
      </w:r>
      <w:r>
        <w:rPr>
          <w:rFonts w:ascii="Calibri" w:cs="Calibri" w:eastAsia="Calibri" w:hAnsi="Calibri"/>
          <w:color w:val="1B1B1B"/>
          <w:sz w:val="22"/>
          <w:szCs w:val="22"/>
        </w:rPr>
        <w:t xml:space="preserve">Primed leaves transported same-day to curing barns; delayed transport invites pre-curing yellowing and quality deterioration.</w:t>
      </w:r>
    </w:p>
    <w:p>
      <w:pPr>
        <w:pStyle w:val="ListParagraph"/>
        <w:numPr>
          <w:ilvl w:val="0"/>
          <w:numId w:val="2"/>
        </w:numPr>
        <w:spacing w:after="80" w:line="290"/>
      </w:pPr>
      <w:r>
        <w:rPr>
          <w:rFonts w:ascii="Calibri" w:cs="Calibri" w:eastAsia="Calibri" w:hAnsi="Calibri"/>
          <w:b/>
          <w:bCs/>
          <w:color w:val="1B1B1B"/>
          <w:sz w:val="22"/>
          <w:szCs w:val="22"/>
        </w:rPr>
        <w:t xml:space="preserve">Stringing or stick-loading: </w:t>
      </w:r>
      <w:r>
        <w:rPr>
          <w:rFonts w:ascii="Calibri" w:cs="Calibri" w:eastAsia="Calibri" w:hAnsi="Calibri"/>
          <w:color w:val="1B1B1B"/>
          <w:sz w:val="22"/>
          <w:szCs w:val="22"/>
        </w:rPr>
        <w:t xml:space="preserve">Leaves strung onto stalks (Virginia flue-cured) or hung individually on sticks (Burley air-cured); barn-loading discipline determines air-flow and curing uniformity.</w:t>
      </w:r>
    </w:p>
    <w:p>
      <w:pPr>
        <w:pStyle w:val="ListParagraph"/>
        <w:numPr>
          <w:ilvl w:val="0"/>
          <w:numId w:val="2"/>
        </w:numPr>
        <w:spacing w:after="80" w:line="290"/>
      </w:pPr>
      <w:r>
        <w:rPr>
          <w:rFonts w:ascii="Calibri" w:cs="Calibri" w:eastAsia="Calibri" w:hAnsi="Calibri"/>
          <w:b/>
          <w:bCs/>
          <w:color w:val="1B1B1B"/>
          <w:sz w:val="22"/>
          <w:szCs w:val="22"/>
        </w:rPr>
        <w:t xml:space="preserve">Curing — flue-cured Virginia (the dominant type): </w:t>
      </w:r>
      <w:r>
        <w:rPr>
          <w:rFonts w:ascii="Calibri" w:cs="Calibri" w:eastAsia="Calibri" w:hAnsi="Calibri"/>
          <w:color w:val="1B1B1B"/>
          <w:sz w:val="22"/>
          <w:szCs w:val="22"/>
        </w:rPr>
        <w:t xml:space="preserve">Heated-air curing in flue barns over 5–7 days through three stages: yellowing (32–35°C, 70% RH, 36–60 hours), leaf-drying (40–55°C, falling RH, 36–60 hours), and stem-drying (60–75°C, low RH, 36–48 hours). Modern barns use natural-gas or electric heating; legacy barns use firewood (with deforestation concerns). Curing produces the characteristic bright golden-yellow Virginia tobacco leaf.</w:t>
      </w:r>
    </w:p>
    <w:p>
      <w:pPr>
        <w:pStyle w:val="ListParagraph"/>
        <w:numPr>
          <w:ilvl w:val="0"/>
          <w:numId w:val="2"/>
        </w:numPr>
        <w:spacing w:after="80" w:line="290"/>
      </w:pPr>
      <w:r>
        <w:rPr>
          <w:rFonts w:ascii="Calibri" w:cs="Calibri" w:eastAsia="Calibri" w:hAnsi="Calibri"/>
          <w:b/>
          <w:bCs/>
          <w:color w:val="1B1B1B"/>
          <w:sz w:val="22"/>
          <w:szCs w:val="22"/>
        </w:rPr>
        <w:t xml:space="preserve">Curing — air-cured Burley: </w:t>
      </w:r>
      <w:r>
        <w:rPr>
          <w:rFonts w:ascii="Calibri" w:cs="Calibri" w:eastAsia="Calibri" w:hAnsi="Calibri"/>
          <w:color w:val="1B1B1B"/>
          <w:sz w:val="22"/>
          <w:szCs w:val="22"/>
        </w:rPr>
        <w:t xml:space="preserve">Natural air-curing in ventilated barns over 6–8 weeks under controlled humidity; produces the lighter-bodied Burley tobacco for blended cigarettes.</w:t>
      </w:r>
    </w:p>
    <w:p>
      <w:pPr>
        <w:pStyle w:val="ListParagraph"/>
        <w:numPr>
          <w:ilvl w:val="0"/>
          <w:numId w:val="2"/>
        </w:numPr>
        <w:spacing w:after="80" w:line="290"/>
      </w:pPr>
      <w:r>
        <w:rPr>
          <w:rFonts w:ascii="Calibri" w:cs="Calibri" w:eastAsia="Calibri" w:hAnsi="Calibri"/>
          <w:b/>
          <w:bCs/>
          <w:color w:val="1B1B1B"/>
          <w:sz w:val="22"/>
          <w:szCs w:val="22"/>
        </w:rPr>
        <w:t xml:space="preserve">Conditioning (post-curing): </w:t>
      </w:r>
      <w:r>
        <w:rPr>
          <w:rFonts w:ascii="Calibri" w:cs="Calibri" w:eastAsia="Calibri" w:hAnsi="Calibri"/>
          <w:color w:val="1B1B1B"/>
          <w:sz w:val="22"/>
          <w:szCs w:val="22"/>
        </w:rPr>
        <w:t xml:space="preserve">Cured leaf re-conditioned to 12–18% moisture for handling and grading; over-dry leaf cracks during handling.</w:t>
      </w:r>
    </w:p>
    <w:p>
      <w:pPr>
        <w:pStyle w:val="ListParagraph"/>
        <w:numPr>
          <w:ilvl w:val="0"/>
          <w:numId w:val="2"/>
        </w:numPr>
        <w:spacing w:after="80" w:line="290"/>
      </w:pPr>
      <w:r>
        <w:rPr>
          <w:rFonts w:ascii="Calibri" w:cs="Calibri" w:eastAsia="Calibri" w:hAnsi="Calibri"/>
          <w:b/>
          <w:bCs/>
          <w:color w:val="1B1B1B"/>
          <w:sz w:val="22"/>
          <w:szCs w:val="22"/>
        </w:rPr>
        <w:t xml:space="preserve">Grading and baling: </w:t>
      </w:r>
      <w:r>
        <w:rPr>
          <w:rFonts w:ascii="Calibri" w:cs="Calibri" w:eastAsia="Calibri" w:hAnsi="Calibri"/>
          <w:color w:val="1B1B1B"/>
          <w:sz w:val="22"/>
          <w:szCs w:val="22"/>
        </w:rPr>
        <w:t xml:space="preserve">Hand-grading by leaf position-and-quality; baling in 50–100 kg bales for warehouse aggregation.</w:t>
      </w:r>
    </w:p>
    <w:p>
      <w:pPr>
        <w:pStyle w:val="ListParagraph"/>
        <w:numPr>
          <w:ilvl w:val="0"/>
          <w:numId w:val="2"/>
        </w:numPr>
        <w:spacing w:after="80" w:line="290"/>
      </w:pPr>
      <w:r>
        <w:rPr>
          <w:rFonts w:ascii="Calibri" w:cs="Calibri" w:eastAsia="Calibri" w:hAnsi="Calibri"/>
          <w:b/>
          <w:bCs/>
          <w:color w:val="1B1B1B"/>
          <w:sz w:val="22"/>
          <w:szCs w:val="22"/>
        </w:rPr>
        <w:t xml:space="preserve">Storage: </w:t>
      </w:r>
      <w:r>
        <w:rPr>
          <w:rFonts w:ascii="Calibri" w:cs="Calibri" w:eastAsia="Calibri" w:hAnsi="Calibri"/>
          <w:color w:val="1B1B1B"/>
          <w:sz w:val="22"/>
          <w:szCs w:val="22"/>
        </w:rPr>
        <w:t xml:space="preserve">Controlled-humidity warehousing at contractor-aggregation centres; phosphine fumigation; storage life 12–18 months at proper conditions.</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Contracted aggregation and grading (the dominant commercial channel): </w:t>
      </w:r>
      <w:r>
        <w:rPr>
          <w:rFonts w:ascii="Calibri" w:cs="Calibri" w:eastAsia="Calibri" w:hAnsi="Calibri"/>
          <w:color w:val="1B1B1B"/>
          <w:sz w:val="22"/>
          <w:szCs w:val="22"/>
        </w:rPr>
        <w:t xml:space="preserve">Cured tobacco leaf moves through tightly contracted aggregation: BAT, Alliance One / Pyxus, Universal Leaf, Mastermind. Aggregators handle re-drying, grading, classification, and export packaging.</w:t>
      </w:r>
    </w:p>
    <w:p>
      <w:pPr>
        <w:pStyle w:val="ListParagraph"/>
        <w:numPr>
          <w:ilvl w:val="0"/>
          <w:numId w:val="2"/>
        </w:numPr>
        <w:spacing w:after="80" w:line="290"/>
      </w:pPr>
      <w:r>
        <w:rPr>
          <w:rFonts w:ascii="Calibri" w:cs="Calibri" w:eastAsia="Calibri" w:hAnsi="Calibri"/>
          <w:b/>
          <w:bCs/>
          <w:color w:val="1B1B1B"/>
          <w:sz w:val="22"/>
          <w:szCs w:val="22"/>
        </w:rPr>
        <w:t xml:space="preserve">Re-drying (commercial-mill operation): </w:t>
      </w:r>
      <w:r>
        <w:rPr>
          <w:rFonts w:ascii="Calibri" w:cs="Calibri" w:eastAsia="Calibri" w:hAnsi="Calibri"/>
          <w:color w:val="1B1B1B"/>
          <w:sz w:val="22"/>
          <w:szCs w:val="22"/>
        </w:rPr>
        <w:t xml:space="preserve">Re-drying brings cured leaf to 11–12% moisture for international shipping; standardised commercial-scale operations at contractor warehouses.</w:t>
      </w:r>
    </w:p>
    <w:p>
      <w:pPr>
        <w:pStyle w:val="ListParagraph"/>
        <w:numPr>
          <w:ilvl w:val="0"/>
          <w:numId w:val="2"/>
        </w:numPr>
        <w:spacing w:after="80" w:line="290"/>
      </w:pPr>
      <w:r>
        <w:rPr>
          <w:rFonts w:ascii="Calibri" w:cs="Calibri" w:eastAsia="Calibri" w:hAnsi="Calibri"/>
          <w:b/>
          <w:bCs/>
          <w:color w:val="1B1B1B"/>
          <w:sz w:val="22"/>
          <w:szCs w:val="22"/>
        </w:rPr>
        <w:t xml:space="preserve">Stemming and threshing: </w:t>
      </w:r>
      <w:r>
        <w:rPr>
          <w:rFonts w:ascii="Calibri" w:cs="Calibri" w:eastAsia="Calibri" w:hAnsi="Calibri"/>
          <w:color w:val="1B1B1B"/>
          <w:sz w:val="22"/>
          <w:szCs w:val="22"/>
        </w:rPr>
        <w:t xml:space="preserve">Removal of leaf stems and conversion to threshed lamina (the commercial export form); stem-and-lamina by-product separation.</w:t>
      </w:r>
    </w:p>
    <w:p>
      <w:pPr>
        <w:pStyle w:val="ListParagraph"/>
        <w:numPr>
          <w:ilvl w:val="0"/>
          <w:numId w:val="2"/>
        </w:numPr>
        <w:spacing w:after="80" w:line="290"/>
      </w:pPr>
      <w:r>
        <w:rPr>
          <w:rFonts w:ascii="Calibri" w:cs="Calibri" w:eastAsia="Calibri" w:hAnsi="Calibri"/>
          <w:b/>
          <w:bCs/>
          <w:color w:val="1B1B1B"/>
          <w:sz w:val="22"/>
          <w:szCs w:val="22"/>
        </w:rPr>
        <w:t xml:space="preserve">Cigarette manufacturing (limited regional): </w:t>
      </w:r>
      <w:r>
        <w:rPr>
          <w:rFonts w:ascii="Calibri" w:cs="Calibri" w:eastAsia="Calibri" w:hAnsi="Calibri"/>
          <w:color w:val="1B1B1B"/>
          <w:sz w:val="22"/>
          <w:szCs w:val="22"/>
        </w:rPr>
        <w:t xml:space="preserve">BAT-owned or BAT-affiliated regional cigarette factories in Kenya, Tanzania, Uganda; relatively concentrated commercial scale; declining trajectory under regional and global tobacco-control regulatory pressure.</w:t>
      </w:r>
    </w:p>
    <w:p>
      <w:pPr>
        <w:pStyle w:val="ListParagraph"/>
        <w:numPr>
          <w:ilvl w:val="0"/>
          <w:numId w:val="2"/>
        </w:numPr>
        <w:spacing w:after="80" w:line="290"/>
      </w:pPr>
      <w:r>
        <w:rPr>
          <w:rFonts w:ascii="Calibri" w:cs="Calibri" w:eastAsia="Calibri" w:hAnsi="Calibri"/>
          <w:b/>
          <w:bCs/>
          <w:color w:val="1B1B1B"/>
          <w:sz w:val="22"/>
          <w:szCs w:val="22"/>
        </w:rPr>
        <w:t xml:space="preserve">Specialty value-add: </w:t>
      </w:r>
      <w:r>
        <w:rPr>
          <w:rFonts w:ascii="Calibri" w:cs="Calibri" w:eastAsia="Calibri" w:hAnsi="Calibri"/>
          <w:color w:val="1B1B1B"/>
          <w:sz w:val="22"/>
          <w:szCs w:val="22"/>
        </w:rPr>
        <w:t xml:space="preserve">Limited regional value-add beyond contracted-export channel; emerging organic-tobacco and reduced-risk-product (RRP) market segments — small commercial scale.</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Cured-leaf moisture: 12–18% for handling; 11–12% for re-dried export.</w:t>
      </w:r>
    </w:p>
    <w:p>
      <w:pPr>
        <w:pStyle w:val="ListParagraph"/>
        <w:numPr>
          <w:ilvl w:val="0"/>
          <w:numId w:val="2"/>
        </w:numPr>
        <w:spacing w:after="80" w:line="290"/>
      </w:pPr>
      <w:r>
        <w:rPr>
          <w:rFonts w:ascii="Calibri" w:cs="Calibri" w:eastAsia="Calibri" w:hAnsi="Calibri"/>
          <w:color w:val="1B1B1B"/>
          <w:sz w:val="22"/>
          <w:szCs w:val="22"/>
        </w:rPr>
        <w:t xml:space="preserve">Grade specifications: position grades (lugs, leaf, tips), quality grades (X, M, F, K — contractor-defined), colour grades (lemon, orange, mahogany, dark).</w:t>
      </w:r>
    </w:p>
    <w:p>
      <w:pPr>
        <w:pStyle w:val="ListParagraph"/>
        <w:numPr>
          <w:ilvl w:val="0"/>
          <w:numId w:val="2"/>
        </w:numPr>
        <w:spacing w:after="80" w:line="290"/>
      </w:pPr>
      <w:r>
        <w:rPr>
          <w:rFonts w:ascii="Calibri" w:cs="Calibri" w:eastAsia="Calibri" w:hAnsi="Calibri"/>
          <w:color w:val="1B1B1B"/>
          <w:sz w:val="22"/>
          <w:szCs w:val="22"/>
        </w:rPr>
        <w:t xml:space="preserve">Foreign matter: typically maximum 0.1–0.5% for export-grade.</w:t>
      </w:r>
    </w:p>
    <w:p>
      <w:pPr>
        <w:pStyle w:val="ListParagraph"/>
        <w:numPr>
          <w:ilvl w:val="0"/>
          <w:numId w:val="2"/>
        </w:numPr>
        <w:spacing w:after="80" w:line="290"/>
      </w:pPr>
      <w:r>
        <w:rPr>
          <w:rFonts w:ascii="Calibri" w:cs="Calibri" w:eastAsia="Calibri" w:hAnsi="Calibri"/>
          <w:color w:val="1B1B1B"/>
          <w:sz w:val="22"/>
          <w:szCs w:val="22"/>
        </w:rPr>
        <w:t xml:space="preserve">Pesticide residue: tightly regulated; specific cigarette-manufacturer protocols enforced.</w:t>
      </w:r>
    </w:p>
    <w:p>
      <w:pPr>
        <w:pStyle w:val="ListParagraph"/>
        <w:numPr>
          <w:ilvl w:val="0"/>
          <w:numId w:val="2"/>
        </w:numPr>
        <w:spacing w:after="80" w:line="290"/>
      </w:pPr>
      <w:r>
        <w:rPr>
          <w:rFonts w:ascii="Calibri" w:cs="Calibri" w:eastAsia="Calibri" w:hAnsi="Calibri"/>
          <w:color w:val="1B1B1B"/>
          <w:sz w:val="22"/>
          <w:szCs w:val="22"/>
        </w:rPr>
        <w:t xml:space="preserve">Certification: BAT-protocol, Alliance One / Pyxus-protocol, Universal Leaf-protocol contracted-grower certification; KEBS, TBS, UNBS standards apply; emerging deforestation-free certification under EUDR (EU Deforestation Regulation) compliance pressures.</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BAT-affiliated curing-barn supply networks. Aggregators: BAT Kenya; Mastermind Tobacco Kenya; cooperative-affiliated networks in Bunyala, Coastal areas.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Equipment: BAT-and-Alliance-One-affiliated curing-barn supply networks; Tanzania Cigarette Company (TCC) infrastructure. Aggregators: BAT Tanzania; Alliance One Tobacco Tanzania (Pyxus); Tanzania Cigarette Company; Tanzania Leaf Tobacco Company; tobacco cooperatives in Tabora, Kigoma, Singida.</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Equipment: regional suppliers. Aggregators: BAT Uganda (now Mastermind Uganda); Alliance One Uganda; tobacco cooperative networks in Western Region.</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Limited commercial tobacco supply.</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Limited commercial tobacco supply.</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Tobacco post-harvest is the regional contracted-grower-and-curing-discipline reference — the most tightly disciplined post-harvest commercial infrastructure of any regional crop. The model works structurally; the trajectory is constrained by regional and global tobacco-control regulatory pressure rather than by post-harvest infrastructure questions.</w:t>
      </w:r>
    </w:p>
    <w:p>
      <w:pPr>
        <w:spacing w:after="120" w:line="300"/>
      </w:pPr>
      <w:r>
        <w:rPr>
          <w:rFonts w:ascii="Calibri" w:cs="Calibri" w:eastAsia="Calibri" w:hAnsi="Calibri"/>
          <w:color w:val="1B1B1B"/>
          <w:sz w:val="22"/>
          <w:szCs w:val="22"/>
        </w:rPr>
        <w:t xml:space="preserve">For tobacco growers in contracted-eligible zones, the actionable rule is contract participation with full curing-protocol adherence; off-protocol production carries grade-rejection risk that can wipe out a season’s margin. For policy and impact investment, tobacco is a category in regulatory transition — EUDR (EU Deforestation Regulation) compliance, declining cigarette-consumption trajectories in some markets, rising regulatory pressure on tobacco supply chains — with structural commercial implications that the regional industry is navigating through 2024–2026 and beyond.</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05</w:t>
            </w:r>
          </w:p>
          <w:p>
            <w:pPr>
              <w:spacing w:after="40"/>
            </w:pPr>
            <w:r>
              <w:rPr>
                <w:rFonts w:ascii="Calibri" w:cs="Calibri" w:eastAsia="Calibri" w:hAnsi="Calibri"/>
                <w:b/>
                <w:bCs/>
                <w:color w:val="FFFFFF"/>
                <w:sz w:val="36"/>
                <w:szCs w:val="36"/>
              </w:rPr>
              <w:t xml:space="preserve">Pyrethrum</w:t>
            </w:r>
          </w:p>
          <w:p>
            <w:r>
              <w:rPr>
                <w:rFonts w:ascii="Calibri" w:cs="Calibri" w:eastAsia="Calibri" w:hAnsi="Calibri"/>
                <w:i/>
                <w:iCs/>
                <w:color w:val="FFFFFF"/>
                <w:sz w:val="20"/>
                <w:szCs w:val="20"/>
              </w:rPr>
              <w:t xml:space="preserve">Tanacetum cinerariifolium  •  formerly Chrysanthemum cinerariifolium</w:t>
            </w:r>
            <w:r>
              <w:rPr>
                <w:rFonts w:ascii="Calibri" w:cs="Calibri" w:eastAsia="Calibri" w:hAnsi="Calibri"/>
                <w:color w:val="FFFFFF"/>
                <w:sz w:val="20"/>
                <w:szCs w:val="20"/>
              </w:rPr>
              <w:t xml:space="preserve">   •   Pareto (regional)  •  Kenya’s natural-insecticide flagship</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10–20% post-harvest loss (smallholder, principally pyrethrins degradation)</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Dried-flower moisture target 8–10%; pyrethrins content 1.5–2.0%+ for premium</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Cool, dark, dry storage; pyrethrins degrade rapidly under light and heat</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Kenya — Mt Kenya highlands (Nyandarua, Nakuru, Kericho, Bomet, Nyamira) anchors regional production; minor Tanzania pilot; minor Rwanda pilot</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Pyrethrum is Kenya’s flagship natural-insecticide cash crop and East Africa’s structurally dominant regional production niche — essentially a Kenyan crop, with limited Tanzanian and Rwandan pilot production. The crop’s flowers contain pyrethrins (a complex of six naturally-occurring insecticidal compounds: pyrethrin I, pyrethrin II, jasmolin I, jasmolin II, cinerin I, cinerin II) at concentrations of 0.7–2.5% by weight of dried flowers. Pyrethrins are the foundational active ingredient in natural-insecticide formulations across the global household-insecticide and organic-agriculture markets, with major buyers including SC Johnson, Sumitomo Chemical, Bayer, BASF, and a network of formulation companies.</w:t>
      </w:r>
    </w:p>
    <w:p>
      <w:pPr>
        <w:spacing w:after="120" w:line="300"/>
      </w:pPr>
      <w:r>
        <w:rPr>
          <w:rFonts w:ascii="Calibri" w:cs="Calibri" w:eastAsia="Calibri" w:hAnsi="Calibri"/>
          <w:color w:val="1B1B1B"/>
          <w:sz w:val="22"/>
          <w:szCs w:val="22"/>
        </w:rPr>
        <w:t xml:space="preserve">Pyrethrum post-harvest economics are dominated by pyrethrins-content preservation. Pyrethrins are heat-sensitive, light-sensitive, and oxygen-sensitive; the post-harvest discipline (rapid drying without overheating, dark storage, low-oxygen packaging) directly determines downstream commercial value. Premium-grade pyrethrum (1.8–2.0%+ pyrethrins content) commands 30–80% over standard-grade (1.2–1.5%); below 1.0% pyrethrins content typically rejects to feed-grade or non-insecticide applications. The contemporary regional industry is anchored by Pyrethrum Regulatory Authority (PRA, formerly Pyrethrum Board of Kenya) coordination and a network of cooperative-and-commercial extraction operators.</w:t>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Flower picking (the foundational discipline): </w:t>
      </w:r>
      <w:r>
        <w:rPr>
          <w:rFonts w:ascii="Calibri" w:cs="Calibri" w:eastAsia="Calibri" w:hAnsi="Calibri"/>
          <w:color w:val="1B1B1B"/>
          <w:sz w:val="22"/>
          <w:szCs w:val="22"/>
        </w:rPr>
        <w:t xml:space="preserve">Selective hand-picking of fully-open flowers (typically when 60–70% of disc florets have opened); under-developed flowers carry low pyrethrins; over-mature flowers have begun pyrethrins degradation. Multiple picking rounds across 6–9 month harvest season at 7–10 day intervals.</w:t>
      </w:r>
    </w:p>
    <w:p>
      <w:pPr>
        <w:pStyle w:val="ListParagraph"/>
        <w:numPr>
          <w:ilvl w:val="0"/>
          <w:numId w:val="2"/>
        </w:numPr>
        <w:spacing w:after="80" w:line="290"/>
      </w:pPr>
      <w:r>
        <w:rPr>
          <w:rFonts w:ascii="Calibri" w:cs="Calibri" w:eastAsia="Calibri" w:hAnsi="Calibri"/>
          <w:b/>
          <w:bCs/>
          <w:color w:val="1B1B1B"/>
          <w:sz w:val="22"/>
          <w:szCs w:val="22"/>
        </w:rPr>
        <w:t xml:space="preserve">Rapid drying (the pyrethrins-preservation step): </w:t>
      </w:r>
      <w:r>
        <w:rPr>
          <w:rFonts w:ascii="Calibri" w:cs="Calibri" w:eastAsia="Calibri" w:hAnsi="Calibri"/>
          <w:color w:val="1B1B1B"/>
          <w:sz w:val="22"/>
          <w:szCs w:val="22"/>
        </w:rPr>
        <w:t xml:space="preserve">Drying must commence within 24 hours of picking to prevent enzymatic-and-microbial pyrethrins degradation. Sun-drying on tarps (smallholder); solar dryers (improved smallholder); flat-bed mechanical dryers (commercial). Maximum drying temperature 50–55°C — higher temperatures degrade pyrethrins.</w:t>
      </w:r>
    </w:p>
    <w:p>
      <w:pPr>
        <w:pStyle w:val="ListParagraph"/>
        <w:numPr>
          <w:ilvl w:val="0"/>
          <w:numId w:val="2"/>
        </w:numPr>
        <w:spacing w:after="80" w:line="290"/>
      </w:pPr>
      <w:r>
        <w:rPr>
          <w:rFonts w:ascii="Calibri" w:cs="Calibri" w:eastAsia="Calibri" w:hAnsi="Calibri"/>
          <w:b/>
          <w:bCs/>
          <w:color w:val="1B1B1B"/>
          <w:sz w:val="22"/>
          <w:szCs w:val="22"/>
        </w:rPr>
        <w:t xml:space="preserve">Drying target: </w:t>
      </w:r>
      <w:r>
        <w:rPr>
          <w:rFonts w:ascii="Calibri" w:cs="Calibri" w:eastAsia="Calibri" w:hAnsi="Calibri"/>
          <w:color w:val="1B1B1B"/>
          <w:sz w:val="22"/>
          <w:szCs w:val="22"/>
        </w:rPr>
        <w:t xml:space="preserve">Dried-flower moisture target 8–10%; over-dry flowers crumble during handling and lose mass.</w:t>
      </w:r>
    </w:p>
    <w:p>
      <w:pPr>
        <w:pStyle w:val="ListParagraph"/>
        <w:numPr>
          <w:ilvl w:val="0"/>
          <w:numId w:val="2"/>
        </w:numPr>
        <w:spacing w:after="80" w:line="290"/>
      </w:pPr>
      <w:r>
        <w:rPr>
          <w:rFonts w:ascii="Calibri" w:cs="Calibri" w:eastAsia="Calibri" w:hAnsi="Calibri"/>
          <w:b/>
          <w:bCs/>
          <w:color w:val="1B1B1B"/>
          <w:sz w:val="22"/>
          <w:szCs w:val="22"/>
        </w:rPr>
        <w:t xml:space="preserve">Cleaning: </w:t>
      </w:r>
      <w:r>
        <w:rPr>
          <w:rFonts w:ascii="Calibri" w:cs="Calibri" w:eastAsia="Calibri" w:hAnsi="Calibri"/>
          <w:color w:val="1B1B1B"/>
          <w:sz w:val="22"/>
          <w:szCs w:val="22"/>
        </w:rPr>
        <w:t xml:space="preserve">Removal of stems, leaves, foreign matter; air-screen cleaning at cooperative scale.</w:t>
      </w:r>
    </w:p>
    <w:p>
      <w:pPr>
        <w:pStyle w:val="ListParagraph"/>
        <w:numPr>
          <w:ilvl w:val="0"/>
          <w:numId w:val="2"/>
        </w:numPr>
        <w:spacing w:after="80" w:line="290"/>
      </w:pPr>
      <w:r>
        <w:rPr>
          <w:rFonts w:ascii="Calibri" w:cs="Calibri" w:eastAsia="Calibri" w:hAnsi="Calibri"/>
          <w:b/>
          <w:bCs/>
          <w:color w:val="1B1B1B"/>
          <w:sz w:val="22"/>
          <w:szCs w:val="22"/>
        </w:rPr>
        <w:t xml:space="preserve">Pyrethrins-content testing: </w:t>
      </w:r>
      <w:r>
        <w:rPr>
          <w:rFonts w:ascii="Calibri" w:cs="Calibri" w:eastAsia="Calibri" w:hAnsi="Calibri"/>
          <w:color w:val="1B1B1B"/>
          <w:sz w:val="22"/>
          <w:szCs w:val="22"/>
        </w:rPr>
        <w:t xml:space="preserve">Laboratory testing through PRA-affiliated facilities; Kenya Bureau of Standards (KEBS); commercial extraction operators. The pyrethrins-content determination drives downstream pricing.</w:t>
      </w:r>
    </w:p>
    <w:p>
      <w:pPr>
        <w:pStyle w:val="ListParagraph"/>
        <w:numPr>
          <w:ilvl w:val="0"/>
          <w:numId w:val="2"/>
        </w:numPr>
        <w:spacing w:after="80" w:line="290"/>
      </w:pPr>
      <w:r>
        <w:rPr>
          <w:rFonts w:ascii="Calibri" w:cs="Calibri" w:eastAsia="Calibri" w:hAnsi="Calibri"/>
          <w:b/>
          <w:bCs/>
          <w:color w:val="1B1B1B"/>
          <w:sz w:val="22"/>
          <w:szCs w:val="22"/>
        </w:rPr>
        <w:t xml:space="preserve">Storage: </w:t>
      </w:r>
      <w:r>
        <w:rPr>
          <w:rFonts w:ascii="Calibri" w:cs="Calibri" w:eastAsia="Calibri" w:hAnsi="Calibri"/>
          <w:color w:val="1B1B1B"/>
          <w:sz w:val="22"/>
          <w:szCs w:val="22"/>
        </w:rPr>
        <w:t xml:space="preserve">Cool, dark, dry storage in jute or polypropylene bags; ideally below 25°C and 60% RH; pyrethrins content declines 5–10% per year under proper storage; faster under poor conditions.</w:t>
      </w:r>
    </w:p>
    <w:p>
      <w:pPr>
        <w:pStyle w:val="ListParagraph"/>
        <w:numPr>
          <w:ilvl w:val="0"/>
          <w:numId w:val="2"/>
        </w:numPr>
        <w:spacing w:after="80" w:line="290"/>
      </w:pPr>
      <w:r>
        <w:rPr>
          <w:rFonts w:ascii="Calibri" w:cs="Calibri" w:eastAsia="Calibri" w:hAnsi="Calibri"/>
          <w:b/>
          <w:bCs/>
          <w:color w:val="1B1B1B"/>
          <w:sz w:val="22"/>
          <w:szCs w:val="22"/>
        </w:rPr>
        <w:t xml:space="preserve">Pest control: </w:t>
      </w:r>
      <w:r>
        <w:rPr>
          <w:rFonts w:ascii="Calibri" w:cs="Calibri" w:eastAsia="Calibri" w:hAnsi="Calibri"/>
          <w:color w:val="1B1B1B"/>
          <w:sz w:val="22"/>
          <w:szCs w:val="22"/>
        </w:rPr>
        <w:t xml:space="preserve">Limited storage pest pressure due to natural insecticidal properties of the flowers themselves; some grain moth pressure under poor storage.</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Pyrethrins extraction (the dominant commercial channel): </w:t>
      </w:r>
      <w:r>
        <w:rPr>
          <w:rFonts w:ascii="Calibri" w:cs="Calibri" w:eastAsia="Calibri" w:hAnsi="Calibri"/>
          <w:color w:val="1B1B1B"/>
          <w:sz w:val="22"/>
          <w:szCs w:val="22"/>
        </w:rPr>
        <w:t xml:space="preserve">Solvent extraction (typically hexane or supercritical CO₂) of pyrethrins from dried flowers; produces concentrated pyrethrum extract (typically 25–50% pyrethrins content) for international formulation markets. Major regional extraction operators: PRA-affiliated facilities; Kentegra Biotechnology; emerging private commercial operators.</w:t>
      </w:r>
    </w:p>
    <w:p>
      <w:pPr>
        <w:pStyle w:val="ListParagraph"/>
        <w:numPr>
          <w:ilvl w:val="0"/>
          <w:numId w:val="2"/>
        </w:numPr>
        <w:spacing w:after="80" w:line="290"/>
      </w:pPr>
      <w:r>
        <w:rPr>
          <w:rFonts w:ascii="Calibri" w:cs="Calibri" w:eastAsia="Calibri" w:hAnsi="Calibri"/>
          <w:b/>
          <w:bCs/>
          <w:color w:val="1B1B1B"/>
          <w:sz w:val="22"/>
          <w:szCs w:val="22"/>
        </w:rPr>
        <w:t xml:space="preserve">Refined pyrethrins production: </w:t>
      </w:r>
      <w:r>
        <w:rPr>
          <w:rFonts w:ascii="Calibri" w:cs="Calibri" w:eastAsia="Calibri" w:hAnsi="Calibri"/>
          <w:color w:val="1B1B1B"/>
          <w:sz w:val="22"/>
          <w:szCs w:val="22"/>
        </w:rPr>
        <w:t xml:space="preserve">Further refinement of crude extract to 50%+ pyrethrins content for premium pharmaceutical-and-cosmetic insecticide formulations; primarily through international refining operations after export of crude extract.</w:t>
      </w:r>
    </w:p>
    <w:p>
      <w:pPr>
        <w:pStyle w:val="ListParagraph"/>
        <w:numPr>
          <w:ilvl w:val="0"/>
          <w:numId w:val="2"/>
        </w:numPr>
        <w:spacing w:after="80" w:line="290"/>
      </w:pPr>
      <w:r>
        <w:rPr>
          <w:rFonts w:ascii="Calibri" w:cs="Calibri" w:eastAsia="Calibri" w:hAnsi="Calibri"/>
          <w:b/>
          <w:bCs/>
          <w:color w:val="1B1B1B"/>
          <w:sz w:val="22"/>
          <w:szCs w:val="22"/>
        </w:rPr>
        <w:t xml:space="preserve">International export (the dominant commercial channel): </w:t>
      </w:r>
      <w:r>
        <w:rPr>
          <w:rFonts w:ascii="Calibri" w:cs="Calibri" w:eastAsia="Calibri" w:hAnsi="Calibri"/>
          <w:color w:val="1B1B1B"/>
          <w:sz w:val="22"/>
          <w:szCs w:val="22"/>
        </w:rPr>
        <w:t xml:space="preserve">Crude and refined pyrethrum extract exports principally to SC Johnson (the dominant historical Kenyan buyer), Sumitomo Chemical, Bayer Crop Science, BASF, and a network of formulation companies. Direct-trade and contracted-supply relationships through Kentegra and PRA-affiliated commercial operators.</w:t>
      </w:r>
    </w:p>
    <w:p>
      <w:pPr>
        <w:pStyle w:val="ListParagraph"/>
        <w:numPr>
          <w:ilvl w:val="0"/>
          <w:numId w:val="2"/>
        </w:numPr>
        <w:spacing w:after="80" w:line="290"/>
      </w:pPr>
      <w:r>
        <w:rPr>
          <w:rFonts w:ascii="Calibri" w:cs="Calibri" w:eastAsia="Calibri" w:hAnsi="Calibri"/>
          <w:b/>
          <w:bCs/>
          <w:color w:val="1B1B1B"/>
          <w:sz w:val="22"/>
          <w:szCs w:val="22"/>
        </w:rPr>
        <w:t xml:space="preserve">Domestic insecticide formulation (limited regional): </w:t>
      </w:r>
      <w:r>
        <w:rPr>
          <w:rFonts w:ascii="Calibri" w:cs="Calibri" w:eastAsia="Calibri" w:hAnsi="Calibri"/>
          <w:color w:val="1B1B1B"/>
          <w:sz w:val="22"/>
          <w:szCs w:val="22"/>
        </w:rPr>
        <w:t xml:space="preserve">Limited regional finished-product formulation capacity relative to underlying pyrethrins production; principally exported as crude or refined extract to international formulators.</w:t>
      </w:r>
    </w:p>
    <w:p>
      <w:pPr>
        <w:pStyle w:val="ListParagraph"/>
        <w:numPr>
          <w:ilvl w:val="0"/>
          <w:numId w:val="2"/>
        </w:numPr>
        <w:spacing w:after="80" w:line="290"/>
      </w:pPr>
      <w:r>
        <w:rPr>
          <w:rFonts w:ascii="Calibri" w:cs="Calibri" w:eastAsia="Calibri" w:hAnsi="Calibri"/>
          <w:b/>
          <w:bCs/>
          <w:color w:val="1B1B1B"/>
          <w:sz w:val="22"/>
          <w:szCs w:val="22"/>
        </w:rPr>
        <w:t xml:space="preserve">Specialty value-add: </w:t>
      </w:r>
      <w:r>
        <w:rPr>
          <w:rFonts w:ascii="Calibri" w:cs="Calibri" w:eastAsia="Calibri" w:hAnsi="Calibri"/>
          <w:color w:val="1B1B1B"/>
          <w:sz w:val="22"/>
          <w:szCs w:val="22"/>
        </w:rPr>
        <w:t xml:space="preserve">Organic-certified pyrethrum extract for premium organic-agriculture insecticide markets; cosmetic-grade pyrethrum for specialty applications; emerging biofuel-and-biocontrol pilot product lines (limited current scale).</w:t>
      </w:r>
    </w:p>
    <w:p>
      <w:pPr>
        <w:pStyle w:val="ListParagraph"/>
        <w:numPr>
          <w:ilvl w:val="0"/>
          <w:numId w:val="2"/>
        </w:numPr>
        <w:spacing w:after="80" w:line="290"/>
      </w:pPr>
      <w:r>
        <w:rPr>
          <w:rFonts w:ascii="Calibri" w:cs="Calibri" w:eastAsia="Calibri" w:hAnsi="Calibri"/>
          <w:b/>
          <w:bCs/>
          <w:color w:val="1B1B1B"/>
          <w:sz w:val="22"/>
          <w:szCs w:val="22"/>
        </w:rPr>
        <w:t xml:space="preserve">Pyrethrum marc (post-extraction by-product): </w:t>
      </w:r>
      <w:r>
        <w:rPr>
          <w:rFonts w:ascii="Calibri" w:cs="Calibri" w:eastAsia="Calibri" w:hAnsi="Calibri"/>
          <w:color w:val="1B1B1B"/>
          <w:sz w:val="22"/>
          <w:szCs w:val="22"/>
        </w:rPr>
        <w:t xml:space="preserve">Residual flower material after pyrethrins extraction (the marc) carries some residual insecticidal activity; used as livestock-feed additive (limited inclusion rate due to residual pyrethrins) and as compost feedstock.</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Dried-flower moisture: 8–10% maximum for storage and extraction.</w:t>
      </w:r>
    </w:p>
    <w:p>
      <w:pPr>
        <w:pStyle w:val="ListParagraph"/>
        <w:numPr>
          <w:ilvl w:val="0"/>
          <w:numId w:val="2"/>
        </w:numPr>
        <w:spacing w:after="80" w:line="290"/>
      </w:pPr>
      <w:r>
        <w:rPr>
          <w:rFonts w:ascii="Calibri" w:cs="Calibri" w:eastAsia="Calibri" w:hAnsi="Calibri"/>
          <w:color w:val="1B1B1B"/>
          <w:sz w:val="22"/>
          <w:szCs w:val="22"/>
        </w:rPr>
        <w:t xml:space="preserve">Pyrethrins content: 1.8–2.0%+ for premium-grade; 1.5–1.8% for standard; 1.0–1.5% for low-grade; below 1.0% rejected from premium insecticide channels.</w:t>
      </w:r>
    </w:p>
    <w:p>
      <w:pPr>
        <w:pStyle w:val="ListParagraph"/>
        <w:numPr>
          <w:ilvl w:val="0"/>
          <w:numId w:val="2"/>
        </w:numPr>
        <w:spacing w:after="80" w:line="290"/>
      </w:pPr>
      <w:r>
        <w:rPr>
          <w:rFonts w:ascii="Calibri" w:cs="Calibri" w:eastAsia="Calibri" w:hAnsi="Calibri"/>
          <w:color w:val="1B1B1B"/>
          <w:sz w:val="22"/>
          <w:szCs w:val="22"/>
        </w:rPr>
        <w:t xml:space="preserve">Foreign matter: typically maximum 1–2% for premium-grade.</w:t>
      </w:r>
    </w:p>
    <w:p>
      <w:pPr>
        <w:pStyle w:val="ListParagraph"/>
        <w:numPr>
          <w:ilvl w:val="0"/>
          <w:numId w:val="2"/>
        </w:numPr>
        <w:spacing w:after="80" w:line="290"/>
      </w:pPr>
      <w:r>
        <w:rPr>
          <w:rFonts w:ascii="Calibri" w:cs="Calibri" w:eastAsia="Calibri" w:hAnsi="Calibri"/>
          <w:color w:val="1B1B1B"/>
          <w:sz w:val="22"/>
          <w:szCs w:val="22"/>
        </w:rPr>
        <w:t xml:space="preserve">Crude extract pyrethrins content: typically 25–50% for international export-grade.</w:t>
      </w:r>
    </w:p>
    <w:p>
      <w:pPr>
        <w:pStyle w:val="ListParagraph"/>
        <w:numPr>
          <w:ilvl w:val="0"/>
          <w:numId w:val="2"/>
        </w:numPr>
        <w:spacing w:after="80" w:line="290"/>
      </w:pPr>
      <w:r>
        <w:rPr>
          <w:rFonts w:ascii="Calibri" w:cs="Calibri" w:eastAsia="Calibri" w:hAnsi="Calibri"/>
          <w:color w:val="1B1B1B"/>
          <w:sz w:val="22"/>
          <w:szCs w:val="22"/>
        </w:rPr>
        <w:t xml:space="preserve">Refined extract pyrethrins content: typically 50–60% for premium pharmaceutical-grade.</w:t>
      </w:r>
    </w:p>
    <w:p>
      <w:pPr>
        <w:pStyle w:val="ListParagraph"/>
        <w:numPr>
          <w:ilvl w:val="0"/>
          <w:numId w:val="2"/>
        </w:numPr>
        <w:spacing w:after="80" w:line="290"/>
      </w:pPr>
      <w:r>
        <w:rPr>
          <w:rFonts w:ascii="Calibri" w:cs="Calibri" w:eastAsia="Calibri" w:hAnsi="Calibri"/>
          <w:color w:val="1B1B1B"/>
          <w:sz w:val="22"/>
          <w:szCs w:val="22"/>
        </w:rPr>
        <w:t xml:space="preserve">Certification: Pyrethrum Regulatory Authority (PRA) Kenya quality protocols; KEBS standards; ISO 22000 for premium extraction operators; organic certification for specialty markets.</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PRA-affiliated regional supplier networks; KALRO Molo (the regional pyrethrum research centre). Aggregators and extractors: Pyrethrum Regulatory Authority (PRA — the regional regulatory and aggregation anchor); Kentegra Biotechnology; emerging private commercial extraction operators in Mt Kenya highlands. International buyers: SC Johnson; Sumitomo Chemical; Bayer Crop Science; BASF; specialty-formulation companies.</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Limited commercial pyrethrum supply; pilot programmes in Southern Highlands.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Limited; pilot stage only.</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Limited; pilot programmes in Northern Province highlands.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Limited; pilot stage only.</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Pyrethrum post-harvest is the regional natural-insecticide-flagship Kenyan story — PRA-coordinated, pyrethrins-content-disciplined, structurally premium-export-trajectory through SC Johnson and Sumitomo and broader international formulation buyers. The post-harvest discipline gap between premium-grade and standard-grade is unusually large, creating structural commercial-development opportunity for cooperative-and-commercial operators willing to invest in pyrethrins-preservation infrastructure.</w:t>
      </w:r>
    </w:p>
    <w:p>
      <w:pPr>
        <w:spacing w:after="120" w:line="300"/>
      </w:pPr>
      <w:r>
        <w:rPr>
          <w:rFonts w:ascii="Calibri" w:cs="Calibri" w:eastAsia="Calibri" w:hAnsi="Calibri"/>
          <w:color w:val="1B1B1B"/>
          <w:sz w:val="22"/>
          <w:szCs w:val="22"/>
        </w:rPr>
        <w:t xml:space="preserve">For Kenyan pyrethrum producers, the actionable rule is participation in PRA-coordinated cooperative-and-commercial extraction networks with full pyrethrins-preservation protocol adherence — rapid drying without overheating, cool dark storage, structured grading. For impact investors and commercial operators, scaling premium-grade pyrethrins extraction infrastructure represents one of Kenya’s most distinctive available specialty-cash-crop commercial-development opportunities. For regional governments and policy stakeholders, supporting Tanzanian and Rwandan pilot pyrethrum production scaling could establish a multi-country regional supply chain serving rising global natural-insecticide demand.</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single" w:color="79B93E" w:sz="14"/>
              <w:right w:val="none" w:color="FFFFFF" w:sz="0"/>
            </w:tcBorders>
            <w:shd w:fill="2E7D32" w:val="clear"/>
            <w:tcMar>
              <w:top w:type="dxa" w:w="200"/>
              <w:left w:type="dxa" w:w="240"/>
              <w:bottom w:type="dxa" w:w="200"/>
              <w:right w:type="dxa" w:w="240"/>
            </w:tcMar>
          </w:tcPr>
          <w:p>
            <w:pPr>
              <w:spacing w:after="40"/>
            </w:pPr>
            <w:r>
              <w:rPr>
                <w:rFonts w:ascii="Calibri" w:cs="Calibri" w:eastAsia="Calibri" w:hAnsi="Calibri"/>
                <w:b/>
                <w:bCs/>
                <w:color w:val="FFFFFF"/>
                <w:spacing w:val="40"/>
                <w:sz w:val="16"/>
                <w:szCs w:val="16"/>
              </w:rPr>
              <w:t xml:space="preserve">CROP 06</w:t>
            </w:r>
          </w:p>
          <w:p>
            <w:pPr>
              <w:spacing w:after="40"/>
            </w:pPr>
            <w:r>
              <w:rPr>
                <w:rFonts w:ascii="Calibri" w:cs="Calibri" w:eastAsia="Calibri" w:hAnsi="Calibri"/>
                <w:b/>
                <w:bCs/>
                <w:color w:val="FFFFFF"/>
                <w:sz w:val="36"/>
                <w:szCs w:val="36"/>
              </w:rPr>
              <w:t xml:space="preserve">Sugarcane</w:t>
            </w:r>
          </w:p>
          <w:p>
            <w:r>
              <w:rPr>
                <w:rFonts w:ascii="Calibri" w:cs="Calibri" w:eastAsia="Calibri" w:hAnsi="Calibri"/>
                <w:i/>
                <w:iCs/>
                <w:color w:val="FFFFFF"/>
                <w:sz w:val="20"/>
                <w:szCs w:val="20"/>
              </w:rPr>
              <w:t xml:space="preserve">Saccharum officinarum</w:t>
            </w:r>
            <w:r>
              <w:rPr>
                <w:rFonts w:ascii="Calibri" w:cs="Calibri" w:eastAsia="Calibri" w:hAnsi="Calibri"/>
                <w:color w:val="FFFFFF"/>
                <w:sz w:val="20"/>
                <w:szCs w:val="20"/>
              </w:rPr>
              <w:t xml:space="preserve">   •   Miwa (Sw)  •  The regional sugar mill industry</w:t>
            </w:r>
          </w:p>
        </w:tc>
      </w:tr>
    </w:tbl>
    <w:p>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LOSS RANGE</w:t>
            </w:r>
          </w:p>
          <w:p>
            <w:r>
              <w:rPr>
                <w:rFonts w:ascii="Calibri" w:cs="Calibri" w:eastAsia="Calibri" w:hAnsi="Calibri"/>
                <w:color w:val="1B1B1B"/>
                <w:sz w:val="20"/>
                <w:szCs w:val="20"/>
              </w:rPr>
              <w:t xml:space="preserve">5–15% post-harvest loss (cane-to-mill burning and delays); recovery rate 9–11% sugar from cane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DRYING / CURING</w:t>
            </w:r>
          </w:p>
          <w:p>
            <w:r>
              <w:rPr>
                <w:rFonts w:ascii="Calibri" w:cs="Calibri" w:eastAsia="Calibri" w:hAnsi="Calibri"/>
                <w:color w:val="1B1B1B"/>
                <w:sz w:val="20"/>
                <w:szCs w:val="20"/>
              </w:rPr>
              <w:t xml:space="preserve">Not applicable (cane processed wet); raw-sugar moisture target below 0.5%</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STORAGE APPROACH</w:t>
            </w:r>
          </w:p>
          <w:p>
            <w:r>
              <w:rPr>
                <w:rFonts w:ascii="Calibri" w:cs="Calibri" w:eastAsia="Calibri" w:hAnsi="Calibri"/>
                <w:color w:val="1B1B1B"/>
                <w:sz w:val="20"/>
                <w:szCs w:val="20"/>
              </w:rPr>
              <w:t xml:space="preserve">Cane: not stored — processed within 24–48 hours; raw sugar: bagged warehouse storage</w:t>
            </w:r>
          </w:p>
        </w:tc>
        <w:tc>
          <w:tcPr>
            <w:tcW w:type="dxa" w:w="2340"/>
            <w:tcBorders>
              <w:top w:val="single" w:color="FFFFFF" w:sz="4"/>
              <w:left w:val="single" w:color="FFFFFF" w:sz="4"/>
              <w:bottom w:val="single" w:color="FFFFFF" w:sz="4"/>
              <w:right w:val="single" w:color="FFFFFF" w:sz="4"/>
            </w:tcBorders>
            <w:shd w:fill="E8F1E2" w:val="clear"/>
            <w:tcMar>
              <w:top w:type="dxa" w:w="120"/>
              <w:left w:type="dxa" w:w="140"/>
              <w:bottom w:type="dxa" w:w="120"/>
              <w:right w:type="dxa" w:w="140"/>
            </w:tcMar>
          </w:tcPr>
          <w:p>
            <w:pPr>
              <w:spacing w:after="40"/>
            </w:pPr>
            <w:r>
              <w:rPr>
                <w:rFonts w:ascii="Calibri" w:cs="Calibri" w:eastAsia="Calibri" w:hAnsi="Calibri"/>
                <w:b/>
                <w:bCs/>
                <w:color w:val="2E7D32"/>
                <w:spacing w:val="30"/>
                <w:sz w:val="16"/>
                <w:szCs w:val="16"/>
              </w:rPr>
              <w:t xml:space="preserve">REGION FOCUS</w:t>
            </w:r>
          </w:p>
          <w:p>
            <w:r>
              <w:rPr>
                <w:rFonts w:ascii="Calibri" w:cs="Calibri" w:eastAsia="Calibri" w:hAnsi="Calibri"/>
                <w:color w:val="1B1B1B"/>
                <w:sz w:val="20"/>
                <w:szCs w:val="20"/>
              </w:rPr>
              <w:t xml:space="preserve">Western &amp; Nyanza KE (Mumias, Nzoia, Sukari, Mehta); Southern UG (Kakira, Kinyara, GM Sugar, Sango Bay); Northern &amp; Coastal TZ (Kilombero, Mtibwa, TPC, Kagera Sugar); minor RW; minor BI</w:t>
            </w:r>
          </w:p>
        </w:tc>
      </w:tr>
    </w:tbl>
    <w:p>
      <w:r>
        <w:t xml:space="preserve"/>
      </w:r>
    </w:p>
    <w:p>
      <w:pPr>
        <w:pStyle w:val="Heading3"/>
        <w:spacing w:after="60" w:before="160"/>
      </w:pPr>
      <w:r>
        <w:rPr>
          <w:rFonts w:ascii="Calibri" w:cs="Calibri" w:eastAsia="Calibri" w:hAnsi="Calibri"/>
          <w:b/>
          <w:bCs/>
          <w:color w:val="1B1B1B"/>
          <w:sz w:val="23"/>
          <w:szCs w:val="23"/>
        </w:rPr>
        <w:t xml:space="preserve">Why this matters</w:t>
      </w:r>
    </w:p>
    <w:p>
      <w:pPr>
        <w:spacing w:after="120" w:line="300"/>
      </w:pPr>
      <w:r>
        <w:rPr>
          <w:rFonts w:ascii="Calibri" w:cs="Calibri" w:eastAsia="Calibri" w:hAnsi="Calibri"/>
          <w:color w:val="1B1B1B"/>
          <w:sz w:val="22"/>
          <w:szCs w:val="22"/>
        </w:rPr>
        <w:t xml:space="preserve">Sugarcane is East Africa’s structural commercial-mill cash crop and the regional industry that anchors approximately 50–60% of regional sugar consumption (with Sudan-and-Egyptian-and-Brazilian imports filling the residual deficit). Annual regional sugarcane production exceeds 30 million tonnes across Kenya (Western and Nyanza), Uganda (Southern), Tanzania (Northern and Coastal), Rwanda (limited), and Burundi (limited). The mill industry comprises approximately 25–30 commercial mills across the region with substantial variation in operational scale and infrastructure quality.</w:t>
      </w:r>
    </w:p>
    <w:p>
      <w:pPr>
        <w:spacing w:after="120" w:line="300"/>
      </w:pPr>
      <w:r>
        <w:rPr>
          <w:rFonts w:ascii="Calibri" w:cs="Calibri" w:eastAsia="Calibri" w:hAnsi="Calibri"/>
          <w:color w:val="1B1B1B"/>
          <w:sz w:val="22"/>
          <w:szCs w:val="22"/>
        </w:rPr>
        <w:t xml:space="preserve">Sugarcane post-harvest economics are dominated by the cane-to-mill speed discipline and by mill recovery rate (the percentage of sugar extracted from cane). Cane begins inversion (sucrose-to-glucose-and-fructose conversion) immediately after cutting; commercial mill economics require cane delivery within 24–48 hours of cutting for optimal recovery. Mill recovery rates of 11–12% (commercial-grade modern mills) versus 8–9% (older or under-maintained mills) drive the structural sugar-industry commercial differential. The cane growers’ share of mill revenue depends on mill recovery rate and on milling-volume management.</w:t>
      </w:r>
    </w:p>
    <w:p>
      <w:pPr>
        <w:pStyle w:val="Heading3"/>
        <w:spacing w:after="60" w:before="160"/>
      </w:pPr>
      <w:r>
        <w:rPr>
          <w:rFonts w:ascii="Calibri" w:cs="Calibri" w:eastAsia="Calibri" w:hAnsi="Calibri"/>
          <w:b/>
          <w:bCs/>
          <w:color w:val="1B1B1B"/>
          <w:sz w:val="23"/>
          <w:szCs w:val="23"/>
        </w:rPr>
        <w:t xml:space="preserve">The post-harvest landscape: harvest, primary processing, drying, storage</w:t>
      </w:r>
    </w:p>
    <w:p>
      <w:pPr>
        <w:pStyle w:val="ListParagraph"/>
        <w:numPr>
          <w:ilvl w:val="0"/>
          <w:numId w:val="2"/>
        </w:numPr>
        <w:spacing w:after="80" w:line="290"/>
      </w:pPr>
      <w:r>
        <w:rPr>
          <w:rFonts w:ascii="Calibri" w:cs="Calibri" w:eastAsia="Calibri" w:hAnsi="Calibri"/>
          <w:b/>
          <w:bCs/>
          <w:color w:val="1B1B1B"/>
          <w:sz w:val="22"/>
          <w:szCs w:val="22"/>
        </w:rPr>
        <w:t xml:space="preserve">Cane harvesting (the burn-vs-green decision): </w:t>
      </w:r>
      <w:r>
        <w:rPr>
          <w:rFonts w:ascii="Calibri" w:cs="Calibri" w:eastAsia="Calibri" w:hAnsi="Calibri"/>
          <w:color w:val="1B1B1B"/>
          <w:sz w:val="22"/>
          <w:szCs w:val="22"/>
        </w:rPr>
        <w:t xml:space="preserve">Cane is harvested either pre-burned (field-burned to remove leaves and trash before cutting; faster harvest but field-and-environmental concerns) or green-cut (harvested without burning; slower but environmentally preferable). The pre-burning practice is being progressively phased out under regulatory and certification pressure.</w:t>
      </w:r>
    </w:p>
    <w:p>
      <w:pPr>
        <w:pStyle w:val="ListParagraph"/>
        <w:numPr>
          <w:ilvl w:val="0"/>
          <w:numId w:val="2"/>
        </w:numPr>
        <w:spacing w:after="80" w:line="290"/>
      </w:pPr>
      <w:r>
        <w:rPr>
          <w:rFonts w:ascii="Calibri" w:cs="Calibri" w:eastAsia="Calibri" w:hAnsi="Calibri"/>
          <w:b/>
          <w:bCs/>
          <w:color w:val="1B1B1B"/>
          <w:sz w:val="22"/>
          <w:szCs w:val="22"/>
        </w:rPr>
        <w:t xml:space="preserve">Cane cutting: </w:t>
      </w:r>
      <w:r>
        <w:rPr>
          <w:rFonts w:ascii="Calibri" w:cs="Calibri" w:eastAsia="Calibri" w:hAnsi="Calibri"/>
          <w:color w:val="1B1B1B"/>
          <w:sz w:val="22"/>
          <w:szCs w:val="22"/>
        </w:rPr>
        <w:t xml:space="preserve">Hand-cutting at smallholder scale (the dominant regional practice); mechanical harvesting at large-commercial scale (limited regional adoption). Cane is cut as close to ground level as possible to capture the highest-sucrose-content basal stem section.</w:t>
      </w:r>
    </w:p>
    <w:p>
      <w:pPr>
        <w:pStyle w:val="ListParagraph"/>
        <w:numPr>
          <w:ilvl w:val="0"/>
          <w:numId w:val="2"/>
        </w:numPr>
        <w:spacing w:after="80" w:line="290"/>
      </w:pPr>
      <w:r>
        <w:rPr>
          <w:rFonts w:ascii="Calibri" w:cs="Calibri" w:eastAsia="Calibri" w:hAnsi="Calibri"/>
          <w:b/>
          <w:bCs/>
          <w:color w:val="1B1B1B"/>
          <w:sz w:val="22"/>
          <w:szCs w:val="22"/>
        </w:rPr>
        <w:t xml:space="preserve">Cane transport (the speed discipline): </w:t>
      </w:r>
      <w:r>
        <w:rPr>
          <w:rFonts w:ascii="Calibri" w:cs="Calibri" w:eastAsia="Calibri" w:hAnsi="Calibri"/>
          <w:color w:val="1B1B1B"/>
          <w:sz w:val="22"/>
          <w:szCs w:val="22"/>
        </w:rPr>
        <w:t xml:space="preserve">Mill-coordinated transport from cane fields to mill within 24–48 hours of cutting; tractor-and-trailer (smallholder/cooperative scale); truck transport (commercial scale); rail transport (some Tanzanian mill operations). Transport delays drive sucrose loss and reduced mill recovery.</w:t>
      </w:r>
    </w:p>
    <w:p>
      <w:pPr>
        <w:pStyle w:val="ListParagraph"/>
        <w:numPr>
          <w:ilvl w:val="0"/>
          <w:numId w:val="2"/>
        </w:numPr>
        <w:spacing w:after="80" w:line="290"/>
      </w:pPr>
      <w:r>
        <w:rPr>
          <w:rFonts w:ascii="Calibri" w:cs="Calibri" w:eastAsia="Calibri" w:hAnsi="Calibri"/>
          <w:b/>
          <w:bCs/>
          <w:color w:val="1B1B1B"/>
          <w:sz w:val="22"/>
          <w:szCs w:val="22"/>
        </w:rPr>
        <w:t xml:space="preserve">Cane reception at mill: </w:t>
      </w:r>
      <w:r>
        <w:rPr>
          <w:rFonts w:ascii="Calibri" w:cs="Calibri" w:eastAsia="Calibri" w:hAnsi="Calibri"/>
          <w:color w:val="1B1B1B"/>
          <w:sz w:val="22"/>
          <w:szCs w:val="22"/>
        </w:rPr>
        <w:t xml:space="preserve">Mill weighbridge weighing; cane sampling for sucrose-content (Pol) testing through Brix/Pol determination; quality classification driving payment calculations.</w:t>
      </w:r>
    </w:p>
    <w:p>
      <w:pPr>
        <w:pStyle w:val="ListParagraph"/>
        <w:numPr>
          <w:ilvl w:val="0"/>
          <w:numId w:val="2"/>
        </w:numPr>
        <w:spacing w:after="80" w:line="290"/>
      </w:pPr>
      <w:r>
        <w:rPr>
          <w:rFonts w:ascii="Calibri" w:cs="Calibri" w:eastAsia="Calibri" w:hAnsi="Calibri"/>
          <w:b/>
          <w:bCs/>
          <w:color w:val="1B1B1B"/>
          <w:sz w:val="22"/>
          <w:szCs w:val="22"/>
        </w:rPr>
        <w:t xml:space="preserve">Cane crushing: </w:t>
      </w:r>
      <w:r>
        <w:rPr>
          <w:rFonts w:ascii="Calibri" w:cs="Calibri" w:eastAsia="Calibri" w:hAnsi="Calibri"/>
          <w:color w:val="1B1B1B"/>
          <w:sz w:val="22"/>
          <w:szCs w:val="22"/>
        </w:rPr>
        <w:t xml:space="preserve">Multi-roller cane crushing extracts juice from cane fibre; bagasse (the residual fibre) is the by-product. Modern mills operate 5–7 roller mill trains; older mills operate 3–5 roller trains with lower extraction efficiency.</w:t>
      </w:r>
    </w:p>
    <w:p>
      <w:pPr>
        <w:pStyle w:val="ListParagraph"/>
        <w:numPr>
          <w:ilvl w:val="0"/>
          <w:numId w:val="2"/>
        </w:numPr>
        <w:spacing w:after="80" w:line="290"/>
      </w:pPr>
      <w:r>
        <w:rPr>
          <w:rFonts w:ascii="Calibri" w:cs="Calibri" w:eastAsia="Calibri" w:hAnsi="Calibri"/>
          <w:b/>
          <w:bCs/>
          <w:color w:val="1B1B1B"/>
          <w:sz w:val="22"/>
          <w:szCs w:val="22"/>
        </w:rPr>
        <w:t xml:space="preserve">Juice clarification and concentration: </w:t>
      </w:r>
      <w:r>
        <w:rPr>
          <w:rFonts w:ascii="Calibri" w:cs="Calibri" w:eastAsia="Calibri" w:hAnsi="Calibri"/>
          <w:color w:val="1B1B1B"/>
          <w:sz w:val="22"/>
          <w:szCs w:val="22"/>
        </w:rPr>
        <w:t xml:space="preserve">Lime addition, heating, and clarification removes impurities from raw juice; multi-effect evaporation concentrates juice to syrup (60–70% sugar content).</w:t>
      </w:r>
    </w:p>
    <w:p>
      <w:pPr>
        <w:pStyle w:val="ListParagraph"/>
        <w:numPr>
          <w:ilvl w:val="0"/>
          <w:numId w:val="2"/>
        </w:numPr>
        <w:spacing w:after="80" w:line="290"/>
      </w:pPr>
      <w:r>
        <w:rPr>
          <w:rFonts w:ascii="Calibri" w:cs="Calibri" w:eastAsia="Calibri" w:hAnsi="Calibri"/>
          <w:b/>
          <w:bCs/>
          <w:color w:val="1B1B1B"/>
          <w:sz w:val="22"/>
          <w:szCs w:val="22"/>
        </w:rPr>
        <w:t xml:space="preserve">Crystallisation and centrifugation: </w:t>
      </w:r>
      <w:r>
        <w:rPr>
          <w:rFonts w:ascii="Calibri" w:cs="Calibri" w:eastAsia="Calibri" w:hAnsi="Calibri"/>
          <w:color w:val="1B1B1B"/>
          <w:sz w:val="22"/>
          <w:szCs w:val="22"/>
        </w:rPr>
        <w:t xml:space="preserve">Vacuum-pan crystallisation produces sugar crystals from concentrated syrup; centrifugation separates crystals from molasses; crystals dried and bagged as raw or refined sugar.</w:t>
      </w:r>
    </w:p>
    <w:p>
      <w:pPr>
        <w:pStyle w:val="ListParagraph"/>
        <w:numPr>
          <w:ilvl w:val="0"/>
          <w:numId w:val="2"/>
        </w:numPr>
        <w:spacing w:after="80" w:line="290"/>
      </w:pPr>
      <w:r>
        <w:rPr>
          <w:rFonts w:ascii="Calibri" w:cs="Calibri" w:eastAsia="Calibri" w:hAnsi="Calibri"/>
          <w:b/>
          <w:bCs/>
          <w:color w:val="1B1B1B"/>
          <w:sz w:val="22"/>
          <w:szCs w:val="22"/>
        </w:rPr>
        <w:t xml:space="preserve">Storage: </w:t>
      </w:r>
      <w:r>
        <w:rPr>
          <w:rFonts w:ascii="Calibri" w:cs="Calibri" w:eastAsia="Calibri" w:hAnsi="Calibri"/>
          <w:color w:val="1B1B1B"/>
          <w:sz w:val="22"/>
          <w:szCs w:val="22"/>
        </w:rPr>
        <w:t xml:space="preserve">Bagged sugar in dry warehouses; molasses in bulk tanks; bagasse for boiler fuel or paper-pulp feedstock.</w:t>
      </w:r>
    </w:p>
    <w:p>
      <w:pPr>
        <w:pStyle w:val="Heading3"/>
        <w:spacing w:after="60" w:before="160"/>
      </w:pPr>
      <w:r>
        <w:rPr>
          <w:rFonts w:ascii="Calibri" w:cs="Calibri" w:eastAsia="Calibri" w:hAnsi="Calibri"/>
          <w:b/>
          <w:bCs/>
          <w:color w:val="1B1B1B"/>
          <w:sz w:val="23"/>
          <w:szCs w:val="23"/>
        </w:rPr>
        <w:t xml:space="preserve">The processing &amp; value-add landscape</w:t>
      </w:r>
    </w:p>
    <w:p>
      <w:pPr>
        <w:pStyle w:val="ListParagraph"/>
        <w:numPr>
          <w:ilvl w:val="0"/>
          <w:numId w:val="2"/>
        </w:numPr>
        <w:spacing w:after="80" w:line="290"/>
      </w:pPr>
      <w:r>
        <w:rPr>
          <w:rFonts w:ascii="Calibri" w:cs="Calibri" w:eastAsia="Calibri" w:hAnsi="Calibri"/>
          <w:b/>
          <w:bCs/>
          <w:color w:val="1B1B1B"/>
          <w:sz w:val="22"/>
          <w:szCs w:val="22"/>
        </w:rPr>
        <w:t xml:space="preserve">Raw sugar production (the dominant commercial channel): </w:t>
      </w:r>
      <w:r>
        <w:rPr>
          <w:rFonts w:ascii="Calibri" w:cs="Calibri" w:eastAsia="Calibri" w:hAnsi="Calibri"/>
          <w:color w:val="1B1B1B"/>
          <w:sz w:val="22"/>
          <w:szCs w:val="22"/>
        </w:rPr>
        <w:t xml:space="preserve">Brown raw sugar (the regional retail standard for many markets) and refined white sugar produced through additional refining stages. Major regional mill operators: Mumias Sugar (Kenya, has had operational issues through 2024–2026); Nzoia Sugar; Sukari Sugar; Mehta Sugar; West Kenya Sugar; Kakira Sugar (Uganda — Madhvani-affiliated, the regional largest mill); Kinyara Sugar; GM Sugar; Sango Bay Sugar; Kilombero Sugar (Tanzania, Illovo-affiliated); Mtibwa Sugar; TPC Sugar; Kagera Sugar; Madhvani-affiliated Kagera operations.</w:t>
      </w:r>
    </w:p>
    <w:p>
      <w:pPr>
        <w:pStyle w:val="ListParagraph"/>
        <w:numPr>
          <w:ilvl w:val="0"/>
          <w:numId w:val="2"/>
        </w:numPr>
        <w:spacing w:after="80" w:line="290"/>
      </w:pPr>
      <w:r>
        <w:rPr>
          <w:rFonts w:ascii="Calibri" w:cs="Calibri" w:eastAsia="Calibri" w:hAnsi="Calibri"/>
          <w:b/>
          <w:bCs/>
          <w:color w:val="1B1B1B"/>
          <w:sz w:val="22"/>
          <w:szCs w:val="22"/>
        </w:rPr>
        <w:t xml:space="preserve">Refined sugar production: </w:t>
      </w:r>
      <w:r>
        <w:rPr>
          <w:rFonts w:ascii="Calibri" w:cs="Calibri" w:eastAsia="Calibri" w:hAnsi="Calibri"/>
          <w:color w:val="1B1B1B"/>
          <w:sz w:val="22"/>
          <w:szCs w:val="22"/>
        </w:rPr>
        <w:t xml:space="preserve">Additional refining (decolorisation, recrystallisation, drying) produces white refined sugar for retail and industrial markets. Major regional refined-sugar operators: Kakira Sugar; Kilombero Sugar; emerging private operators.</w:t>
      </w:r>
    </w:p>
    <w:p>
      <w:pPr>
        <w:pStyle w:val="ListParagraph"/>
        <w:numPr>
          <w:ilvl w:val="0"/>
          <w:numId w:val="2"/>
        </w:numPr>
        <w:spacing w:after="80" w:line="290"/>
      </w:pPr>
      <w:r>
        <w:rPr>
          <w:rFonts w:ascii="Calibri" w:cs="Calibri" w:eastAsia="Calibri" w:hAnsi="Calibri"/>
          <w:b/>
          <w:bCs/>
          <w:color w:val="1B1B1B"/>
          <w:sz w:val="22"/>
          <w:szCs w:val="22"/>
        </w:rPr>
        <w:t xml:space="preserve">Molasses (the principal by-product): </w:t>
      </w:r>
      <w:r>
        <w:rPr>
          <w:rFonts w:ascii="Calibri" w:cs="Calibri" w:eastAsia="Calibri" w:hAnsi="Calibri"/>
          <w:color w:val="1B1B1B"/>
          <w:sz w:val="22"/>
          <w:szCs w:val="22"/>
        </w:rPr>
        <w:t xml:space="preserve">Molasses (residual syrup from sugar crystallisation) carries 45–55% sugar content; major commercial uses: brewing input (regional EABL, Serengeti Breweries, Bralirwa, Brarudi distilleries); rum and ethanol distillation; livestock feed input; emerging biofuel applications. Major buyers: regional brewing companies; emerging Tanzanian Bioethanol commercial operators.</w:t>
      </w:r>
    </w:p>
    <w:p>
      <w:pPr>
        <w:pStyle w:val="ListParagraph"/>
        <w:numPr>
          <w:ilvl w:val="0"/>
          <w:numId w:val="2"/>
        </w:numPr>
        <w:spacing w:after="80" w:line="290"/>
      </w:pPr>
      <w:r>
        <w:rPr>
          <w:rFonts w:ascii="Calibri" w:cs="Calibri" w:eastAsia="Calibri" w:hAnsi="Calibri"/>
          <w:b/>
          <w:bCs/>
          <w:color w:val="1B1B1B"/>
          <w:sz w:val="22"/>
          <w:szCs w:val="22"/>
        </w:rPr>
        <w:t xml:space="preserve">Bagasse (the by-product fuel): </w:t>
      </w:r>
      <w:r>
        <w:rPr>
          <w:rFonts w:ascii="Calibri" w:cs="Calibri" w:eastAsia="Calibri" w:hAnsi="Calibri"/>
          <w:color w:val="1B1B1B"/>
          <w:sz w:val="22"/>
          <w:szCs w:val="22"/>
        </w:rPr>
        <w:t xml:space="preserve">Bagasse (residual cane fibre after crushing) used as boiler fuel for mill steam generation; cogeneration emerging for grid-electricity sale; paper-pulp feedstock at limited regional scale.</w:t>
      </w:r>
    </w:p>
    <w:p>
      <w:pPr>
        <w:pStyle w:val="ListParagraph"/>
        <w:numPr>
          <w:ilvl w:val="0"/>
          <w:numId w:val="2"/>
        </w:numPr>
        <w:spacing w:after="80" w:line="290"/>
      </w:pPr>
      <w:r>
        <w:rPr>
          <w:rFonts w:ascii="Calibri" w:cs="Calibri" w:eastAsia="Calibri" w:hAnsi="Calibri"/>
          <w:b/>
          <w:bCs/>
          <w:color w:val="1B1B1B"/>
          <w:sz w:val="22"/>
          <w:szCs w:val="22"/>
        </w:rPr>
        <w:t xml:space="preserve">Specialty value-add: </w:t>
      </w:r>
      <w:r>
        <w:rPr>
          <w:rFonts w:ascii="Calibri" w:cs="Calibri" w:eastAsia="Calibri" w:hAnsi="Calibri"/>
          <w:color w:val="1B1B1B"/>
          <w:sz w:val="22"/>
          <w:szCs w:val="22"/>
        </w:rPr>
        <w:t xml:space="preserve">Brown sugar and unrefined cane sugar for premium retail; ethanol distillation (rum, neutral spirits, biofuel); bagasse-based bio-energy cogeneration; emerging organic-certified sugar operators (limited current scale).</w:t>
      </w:r>
    </w:p>
    <w:p>
      <w:pPr>
        <w:pStyle w:val="Heading3"/>
        <w:spacing w:after="60" w:before="160"/>
      </w:pPr>
      <w:r>
        <w:rPr>
          <w:rFonts w:ascii="Calibri" w:cs="Calibri" w:eastAsia="Calibri" w:hAnsi="Calibri"/>
          <w:b/>
          <w:bCs/>
          <w:color w:val="1B1B1B"/>
          <w:sz w:val="23"/>
          <w:szCs w:val="23"/>
        </w:rPr>
        <w:t xml:space="preserve">Standards &amp; quality</w:t>
      </w:r>
    </w:p>
    <w:p>
      <w:pPr>
        <w:pStyle w:val="ListParagraph"/>
        <w:numPr>
          <w:ilvl w:val="0"/>
          <w:numId w:val="2"/>
        </w:numPr>
        <w:spacing w:after="80" w:line="290"/>
      </w:pPr>
      <w:r>
        <w:rPr>
          <w:rFonts w:ascii="Calibri" w:cs="Calibri" w:eastAsia="Calibri" w:hAnsi="Calibri"/>
          <w:color w:val="1B1B1B"/>
          <w:sz w:val="22"/>
          <w:szCs w:val="22"/>
        </w:rPr>
        <w:t xml:space="preserve">Cane Brix (sucrose content): typically 18–22% for milling-grade; higher Brix favours mill economics.</w:t>
      </w:r>
    </w:p>
    <w:p>
      <w:pPr>
        <w:pStyle w:val="ListParagraph"/>
        <w:numPr>
          <w:ilvl w:val="0"/>
          <w:numId w:val="2"/>
        </w:numPr>
        <w:spacing w:after="80" w:line="290"/>
      </w:pPr>
      <w:r>
        <w:rPr>
          <w:rFonts w:ascii="Calibri" w:cs="Calibri" w:eastAsia="Calibri" w:hAnsi="Calibri"/>
          <w:color w:val="1B1B1B"/>
          <w:sz w:val="22"/>
          <w:szCs w:val="22"/>
        </w:rPr>
        <w:t xml:space="preserve">Mill recovery rate: 11–12% for modern commercial mills; 8–9% for older or under-maintained mills.</w:t>
      </w:r>
    </w:p>
    <w:p>
      <w:pPr>
        <w:pStyle w:val="ListParagraph"/>
        <w:numPr>
          <w:ilvl w:val="0"/>
          <w:numId w:val="2"/>
        </w:numPr>
        <w:spacing w:after="80" w:line="290"/>
      </w:pPr>
      <w:r>
        <w:rPr>
          <w:rFonts w:ascii="Calibri" w:cs="Calibri" w:eastAsia="Calibri" w:hAnsi="Calibri"/>
          <w:color w:val="1B1B1B"/>
          <w:sz w:val="22"/>
          <w:szCs w:val="22"/>
        </w:rPr>
        <w:t xml:space="preserve">Raw sugar polarisation: typically 96–97°Z for export-grade.</w:t>
      </w:r>
    </w:p>
    <w:p>
      <w:pPr>
        <w:pStyle w:val="ListParagraph"/>
        <w:numPr>
          <w:ilvl w:val="0"/>
          <w:numId w:val="2"/>
        </w:numPr>
        <w:spacing w:after="80" w:line="290"/>
      </w:pPr>
      <w:r>
        <w:rPr>
          <w:rFonts w:ascii="Calibri" w:cs="Calibri" w:eastAsia="Calibri" w:hAnsi="Calibri"/>
          <w:color w:val="1B1B1B"/>
          <w:sz w:val="22"/>
          <w:szCs w:val="22"/>
        </w:rPr>
        <w:t xml:space="preserve">Refined sugar moisture: maximum 0.05–0.10% for retail-grade.</w:t>
      </w:r>
    </w:p>
    <w:p>
      <w:pPr>
        <w:pStyle w:val="ListParagraph"/>
        <w:numPr>
          <w:ilvl w:val="0"/>
          <w:numId w:val="2"/>
        </w:numPr>
        <w:spacing w:after="80" w:line="290"/>
      </w:pPr>
      <w:r>
        <w:rPr>
          <w:rFonts w:ascii="Calibri" w:cs="Calibri" w:eastAsia="Calibri" w:hAnsi="Calibri"/>
          <w:color w:val="1B1B1B"/>
          <w:sz w:val="22"/>
          <w:szCs w:val="22"/>
        </w:rPr>
        <w:t xml:space="preserve">Refined sugar colour (ICUMSA units): typically below 45 ICUMSA for retail white sugar.</w:t>
      </w:r>
    </w:p>
    <w:p>
      <w:pPr>
        <w:pStyle w:val="ListParagraph"/>
        <w:numPr>
          <w:ilvl w:val="0"/>
          <w:numId w:val="2"/>
        </w:numPr>
        <w:spacing w:after="80" w:line="290"/>
      </w:pPr>
      <w:r>
        <w:rPr>
          <w:rFonts w:ascii="Calibri" w:cs="Calibri" w:eastAsia="Calibri" w:hAnsi="Calibri"/>
          <w:color w:val="1B1B1B"/>
          <w:sz w:val="22"/>
          <w:szCs w:val="22"/>
        </w:rPr>
        <w:t xml:space="preserve">Sulphur dioxide residue: tightly regulated at maximum 15–20 ppm for export-grade.</w:t>
      </w:r>
    </w:p>
    <w:p>
      <w:pPr>
        <w:pStyle w:val="ListParagraph"/>
        <w:numPr>
          <w:ilvl w:val="0"/>
          <w:numId w:val="2"/>
        </w:numPr>
        <w:spacing w:after="80" w:line="290"/>
      </w:pPr>
      <w:r>
        <w:rPr>
          <w:rFonts w:ascii="Calibri" w:cs="Calibri" w:eastAsia="Calibri" w:hAnsi="Calibri"/>
          <w:color w:val="1B1B1B"/>
          <w:sz w:val="22"/>
          <w:szCs w:val="22"/>
        </w:rPr>
        <w:t xml:space="preserve">Certification: KEBS, TBS, UNBS, RSB, BBS standards; Sugar Board of Kenya / Tanzania Sugar Board / Uganda Sugar Manufacturers regulatory; Bonsucro sustainability certification emerging.</w:t>
      </w:r>
    </w:p>
    <w:p>
      <w:pPr>
        <w:pStyle w:val="Heading3"/>
        <w:spacing w:after="60" w:before="160"/>
      </w:pPr>
      <w:r>
        <w:rPr>
          <w:rFonts w:ascii="Calibri" w:cs="Calibri" w:eastAsia="Calibri" w:hAnsi="Calibri"/>
          <w:b/>
          <w:bCs/>
          <w:color w:val="1B1B1B"/>
          <w:sz w:val="23"/>
          <w:szCs w:val="23"/>
        </w:rPr>
        <w:t xml:space="preserve">Where to source equipment, services, and processors</w:t>
      </w:r>
    </w:p>
    <w:p>
      <w:pPr>
        <w:pStyle w:val="ListParagraph"/>
        <w:numPr>
          <w:ilvl w:val="0"/>
          <w:numId w:val="2"/>
        </w:numPr>
        <w:spacing w:after="80" w:line="290"/>
      </w:pPr>
      <w:r>
        <w:rPr>
          <w:rFonts w:ascii="Calibri" w:cs="Calibri" w:eastAsia="Calibri" w:hAnsi="Calibri"/>
          <w:b/>
          <w:bCs/>
          <w:color w:val="2E7D32"/>
          <w:sz w:val="22"/>
          <w:szCs w:val="22"/>
        </w:rPr>
        <w:t xml:space="preserve">Kenya: </w:t>
      </w:r>
      <w:r>
        <w:rPr>
          <w:rFonts w:ascii="Calibri" w:cs="Calibri" w:eastAsia="Calibri" w:hAnsi="Calibri"/>
          <w:color w:val="1B1B1B"/>
          <w:sz w:val="22"/>
          <w:szCs w:val="22"/>
        </w:rPr>
        <w:t xml:space="preserve">Equipment: regional commercial mill suppliers; Kenya Sugar Industry Stakeholders Task Force-affiliated networks. Mill operators: Mumias Sugar (with operational issues through 2024–2026 — worth current verification); Nzoia Sugar; Sukari Sugar; Mehta Sugar; West Kenya Sugar; Butali Sugar. Regulatory: Sugar Board of Kenya (now Sugar Directorate under AFA — Agriculture and Food Authority).</w:t>
      </w:r>
    </w:p>
    <w:p>
      <w:pPr>
        <w:pStyle w:val="ListParagraph"/>
        <w:numPr>
          <w:ilvl w:val="0"/>
          <w:numId w:val="2"/>
        </w:numPr>
        <w:spacing w:after="80" w:line="290"/>
      </w:pPr>
      <w:r>
        <w:rPr>
          <w:rFonts w:ascii="Calibri" w:cs="Calibri" w:eastAsia="Calibri" w:hAnsi="Calibri"/>
          <w:b/>
          <w:bCs/>
          <w:color w:val="2E7D32"/>
          <w:sz w:val="22"/>
          <w:szCs w:val="22"/>
        </w:rPr>
        <w:t xml:space="preserve">Tanzania: </w:t>
      </w:r>
      <w:r>
        <w:rPr>
          <w:rFonts w:ascii="Calibri" w:cs="Calibri" w:eastAsia="Calibri" w:hAnsi="Calibri"/>
          <w:color w:val="1B1B1B"/>
          <w:sz w:val="22"/>
          <w:szCs w:val="22"/>
        </w:rPr>
        <w:t xml:space="preserve">Equipment: regional commercial mill suppliers; TARI-linked networks. Mill operators: Kilombero Sugar Company (Illovo Sugar-affiliated); Mtibwa Sugar Estates; TPC Limited (Kilimanjaro Plantation); Kagera Sugar Limited (Madhvani-affiliated); emerging cooperative operations.</w:t>
      </w:r>
    </w:p>
    <w:p>
      <w:pPr>
        <w:pStyle w:val="ListParagraph"/>
        <w:numPr>
          <w:ilvl w:val="0"/>
          <w:numId w:val="2"/>
        </w:numPr>
        <w:spacing w:after="80" w:line="290"/>
      </w:pPr>
      <w:r>
        <w:rPr>
          <w:rFonts w:ascii="Calibri" w:cs="Calibri" w:eastAsia="Calibri" w:hAnsi="Calibri"/>
          <w:b/>
          <w:bCs/>
          <w:color w:val="2E7D32"/>
          <w:sz w:val="22"/>
          <w:szCs w:val="22"/>
        </w:rPr>
        <w:t xml:space="preserve">Uganda: </w:t>
      </w:r>
      <w:r>
        <w:rPr>
          <w:rFonts w:ascii="Calibri" w:cs="Calibri" w:eastAsia="Calibri" w:hAnsi="Calibri"/>
          <w:color w:val="1B1B1B"/>
          <w:sz w:val="22"/>
          <w:szCs w:val="22"/>
        </w:rPr>
        <w:t xml:space="preserve">Equipment: regional commercial mill suppliers. Mill operators: Kakira Sugar Limited (Madhvani Group — the regional largest); Kinyara Sugar Limited (RAI Group); GM Sugar Industries; Sango Bay Sugar; Mayuge Sugar; Mukwano Industries (sugar interests).</w:t>
      </w:r>
    </w:p>
    <w:p>
      <w:pPr>
        <w:pStyle w:val="ListParagraph"/>
        <w:numPr>
          <w:ilvl w:val="0"/>
          <w:numId w:val="2"/>
        </w:numPr>
        <w:spacing w:after="80" w:line="290"/>
      </w:pPr>
      <w:r>
        <w:rPr>
          <w:rFonts w:ascii="Calibri" w:cs="Calibri" w:eastAsia="Calibri" w:hAnsi="Calibri"/>
          <w:b/>
          <w:bCs/>
          <w:color w:val="2E7D32"/>
          <w:sz w:val="22"/>
          <w:szCs w:val="22"/>
        </w:rPr>
        <w:t xml:space="preserve">Rwanda: </w:t>
      </w:r>
      <w:r>
        <w:rPr>
          <w:rFonts w:ascii="Calibri" w:cs="Calibri" w:eastAsia="Calibri" w:hAnsi="Calibri"/>
          <w:color w:val="1B1B1B"/>
          <w:sz w:val="22"/>
          <w:szCs w:val="22"/>
        </w:rPr>
        <w:t xml:space="preserve">Equipment: regional imports. Mill operators: limited; emerging Kabuye-area operations.</w:t>
      </w:r>
    </w:p>
    <w:p>
      <w:pPr>
        <w:pStyle w:val="ListParagraph"/>
        <w:numPr>
          <w:ilvl w:val="0"/>
          <w:numId w:val="2"/>
        </w:numPr>
        <w:spacing w:after="80" w:line="290"/>
      </w:pPr>
      <w:r>
        <w:rPr>
          <w:rFonts w:ascii="Calibri" w:cs="Calibri" w:eastAsia="Calibri" w:hAnsi="Calibri"/>
          <w:b/>
          <w:bCs/>
          <w:color w:val="2E7D32"/>
          <w:sz w:val="22"/>
          <w:szCs w:val="22"/>
        </w:rPr>
        <w:t xml:space="preserve">Burundi: </w:t>
      </w:r>
      <w:r>
        <w:rPr>
          <w:rFonts w:ascii="Calibri" w:cs="Calibri" w:eastAsia="Calibri" w:hAnsi="Calibri"/>
          <w:color w:val="1B1B1B"/>
          <w:sz w:val="22"/>
          <w:szCs w:val="22"/>
        </w:rPr>
        <w:t xml:space="preserve">Equipment: regional imports. Mill operators: SOSUMO (Société Sucrière du Moso — the principal Burundian mill).</w:t>
      </w:r>
    </w:p>
    <w:p>
      <w:pPr>
        <w:pStyle w:val="Heading3"/>
        <w:spacing w:after="60" w:before="160"/>
      </w:pPr>
      <w:r>
        <w:rPr>
          <w:rFonts w:ascii="Calibri" w:cs="Calibri" w:eastAsia="Calibri" w:hAnsi="Calibri"/>
          <w:b/>
          <w:bCs/>
          <w:color w:val="1B1B1B"/>
          <w:sz w:val="23"/>
          <w:szCs w:val="23"/>
        </w:rPr>
        <w:t xml:space="preserve">Bottom line</w:t>
      </w:r>
    </w:p>
    <w:p>
      <w:pPr>
        <w:spacing w:after="120" w:line="300"/>
      </w:pPr>
      <w:r>
        <w:rPr>
          <w:rFonts w:ascii="Calibri" w:cs="Calibri" w:eastAsia="Calibri" w:hAnsi="Calibri"/>
          <w:color w:val="1B1B1B"/>
          <w:sz w:val="22"/>
          <w:szCs w:val="22"/>
        </w:rPr>
        <w:t xml:space="preserve">Sugarcane post-harvest is the regional consolidated commercial-mill industry — structurally functional infrastructure across approximately 25–30 mills, persistent commercial trajectory with substantial variation in operational performance, regional sugar-import-substitution opportunity that has not yet been fully captured.</w:t>
      </w:r>
    </w:p>
    <w:p>
      <w:pPr>
        <w:spacing w:after="120" w:line="300"/>
      </w:pPr>
      <w:r>
        <w:rPr>
          <w:rFonts w:ascii="Calibri" w:cs="Calibri" w:eastAsia="Calibri" w:hAnsi="Calibri"/>
          <w:color w:val="1B1B1B"/>
          <w:sz w:val="22"/>
          <w:szCs w:val="22"/>
        </w:rPr>
        <w:t xml:space="preserve">For smallholder cane growers in mill-affiliated production zones, the actionable rule is mill-coordinated cane harvesting and prompt delivery for optimal mill recovery and farmer payment outcomes. For commercial operators and impact investors, mill-modernisation investment (recovery-rate improvement, cogeneration capacity, refining-and-value-add integration) represents the strongest available regional sugar-industry commercial-development trajectory — with Madhvani-affiliated operations and Illovo-affiliated Kilombero providing the regional reference for integrated mill-and-cogeneration-and-refining commercial structures.</w:t>
      </w:r>
    </w:p>
    <w:p>
      <w:r>
        <w:br w:type="page"/>
      </w:r>
    </w:p>
    <w:p>
      <w:pPr>
        <w:pStyle w:val="Heading2"/>
        <w:spacing w:after="100" w:before="220"/>
      </w:pPr>
      <w:r>
        <w:rPr>
          <w:rFonts w:ascii="Calibri" w:cs="Calibri" w:eastAsia="Calibri" w:hAnsi="Calibri"/>
          <w:b/>
          <w:bCs/>
          <w:color w:val="2E7D32"/>
          <w:sz w:val="26"/>
          <w:szCs w:val="26"/>
        </w:rPr>
        <w:t xml:space="preserve">Cross-cutting recommendations</w:t>
      </w:r>
    </w:p>
    <w:p>
      <w:pPr>
        <w:pStyle w:val="ListParagraph"/>
        <w:numPr>
          <w:ilvl w:val="0"/>
          <w:numId w:val="2"/>
        </w:numPr>
        <w:spacing w:after="80" w:line="290"/>
      </w:pPr>
      <w:r>
        <w:rPr>
          <w:rFonts w:ascii="Calibri" w:cs="Calibri" w:eastAsia="Calibri" w:hAnsi="Calibri"/>
          <w:b/>
          <w:bCs/>
          <w:color w:val="2E7D32"/>
          <w:sz w:val="22"/>
          <w:szCs w:val="22"/>
        </w:rPr>
        <w:t xml:space="preserve">Scale washing-station infrastructure into emerging coffee production zones. </w:t>
      </w:r>
      <w:r>
        <w:rPr>
          <w:rFonts w:ascii="Calibri" w:cs="Calibri" w:eastAsia="Calibri" w:hAnsi="Calibri"/>
          <w:color w:val="1B1B1B"/>
          <w:sz w:val="22"/>
          <w:szCs w:val="22"/>
        </w:rPr>
        <w:t xml:space="preserve">The CWS commercial model is structurally functional across Kenyan-and-Rwandan reference operations; geographic extension into Tanzanian Mbeya-Mbinga, Burundian Kayanza-Ngozi-Bururi, and Ugandan Mt Elgon-Bugisu represents the regional coffee-specialty-trajectory commercial-development opportunity with the strongest available value-capture case.</w:t>
      </w:r>
    </w:p>
    <w:p>
      <w:pPr>
        <w:pStyle w:val="ListParagraph"/>
        <w:numPr>
          <w:ilvl w:val="0"/>
          <w:numId w:val="2"/>
        </w:numPr>
        <w:spacing w:after="80" w:line="290"/>
      </w:pPr>
      <w:r>
        <w:rPr>
          <w:rFonts w:ascii="Calibri" w:cs="Calibri" w:eastAsia="Calibri" w:hAnsi="Calibri"/>
          <w:b/>
          <w:bCs/>
          <w:color w:val="2E7D32"/>
          <w:sz w:val="22"/>
          <w:szCs w:val="22"/>
        </w:rPr>
        <w:t xml:space="preserve">Build cooperative-and-commercial fermentation infrastructure for cocoa. </w:t>
      </w:r>
      <w:r>
        <w:rPr>
          <w:rFonts w:ascii="Calibri" w:cs="Calibri" w:eastAsia="Calibri" w:hAnsi="Calibri"/>
          <w:color w:val="1B1B1B"/>
          <w:sz w:val="22"/>
          <w:szCs w:val="22"/>
        </w:rPr>
        <w:t xml:space="preserve">Tanzanian Mbeya-Kagera and Ugandan Bundibugyo emerging production zones reward fermentation-discipline-anchored aggregator infrastructure with structural premium-grade trajectory. Theo Chocolate Tanzania and Esco Kakao Uganda provide regional reference commercial models.</w:t>
      </w:r>
    </w:p>
    <w:p>
      <w:pPr>
        <w:pStyle w:val="ListParagraph"/>
        <w:numPr>
          <w:ilvl w:val="0"/>
          <w:numId w:val="2"/>
        </w:numPr>
        <w:spacing w:after="80" w:line="290"/>
      </w:pPr>
      <w:r>
        <w:rPr>
          <w:rFonts w:ascii="Calibri" w:cs="Calibri" w:eastAsia="Calibri" w:hAnsi="Calibri"/>
          <w:b/>
          <w:bCs/>
          <w:color w:val="2E7D32"/>
          <w:sz w:val="22"/>
          <w:szCs w:val="22"/>
        </w:rPr>
        <w:t xml:space="preserve">Maintain Mombasa-auction-aligned tea factory discipline. </w:t>
      </w:r>
      <w:r>
        <w:rPr>
          <w:rFonts w:ascii="Calibri" w:cs="Calibri" w:eastAsia="Calibri" w:hAnsi="Calibri"/>
          <w:color w:val="1B1B1B"/>
          <w:sz w:val="22"/>
          <w:szCs w:val="22"/>
        </w:rPr>
        <w:t xml:space="preserve">EATTA-disciplined tea factory-and-auction infrastructure remains the regional volume anchor; emerging single-origin specialty direct-trade channels in Rwanda, Kenya, and emerging Tanzanian and Burundian operations provide premium commercial trajectory alongside the auction model.</w:t>
      </w:r>
    </w:p>
    <w:p>
      <w:pPr>
        <w:pStyle w:val="ListParagraph"/>
        <w:numPr>
          <w:ilvl w:val="0"/>
          <w:numId w:val="2"/>
        </w:numPr>
        <w:spacing w:after="80" w:line="290"/>
      </w:pPr>
      <w:r>
        <w:rPr>
          <w:rFonts w:ascii="Calibri" w:cs="Calibri" w:eastAsia="Calibri" w:hAnsi="Calibri"/>
          <w:b/>
          <w:bCs/>
          <w:color w:val="2E7D32"/>
          <w:sz w:val="22"/>
          <w:szCs w:val="22"/>
        </w:rPr>
        <w:t xml:space="preserve">Manage tobacco regulatory transition. </w:t>
      </w:r>
      <w:r>
        <w:rPr>
          <w:rFonts w:ascii="Calibri" w:cs="Calibri" w:eastAsia="Calibri" w:hAnsi="Calibri"/>
          <w:color w:val="1B1B1B"/>
          <w:sz w:val="22"/>
          <w:szCs w:val="22"/>
        </w:rPr>
        <w:t xml:space="preserve">EUDR (EU Deforestation Regulation) compliance, declining cigarette-consumption trajectories in some markets, and rising regulatory pressure on tobacco supply chains together drive the regional tobacco industry through a structural transition that requires policy-and-commercial coordination rather than post-harvest infrastructure scaling alone.</w:t>
      </w:r>
    </w:p>
    <w:p>
      <w:pPr>
        <w:pStyle w:val="ListParagraph"/>
        <w:numPr>
          <w:ilvl w:val="0"/>
          <w:numId w:val="2"/>
        </w:numPr>
        <w:spacing w:after="80" w:line="290"/>
      </w:pPr>
      <w:r>
        <w:rPr>
          <w:rFonts w:ascii="Calibri" w:cs="Calibri" w:eastAsia="Calibri" w:hAnsi="Calibri"/>
          <w:b/>
          <w:bCs/>
          <w:color w:val="2E7D32"/>
          <w:sz w:val="22"/>
          <w:szCs w:val="22"/>
        </w:rPr>
        <w:t xml:space="preserve">Invest in pyrethrum-extraction premium-grade infrastructure. </w:t>
      </w:r>
      <w:r>
        <w:rPr>
          <w:rFonts w:ascii="Calibri" w:cs="Calibri" w:eastAsia="Calibri" w:hAnsi="Calibri"/>
          <w:color w:val="1B1B1B"/>
          <w:sz w:val="22"/>
          <w:szCs w:val="22"/>
        </w:rPr>
        <w:t xml:space="preserve">Kenyan pyrethrum production carries structural natural-insecticide premium-trajectory through SC Johnson, Sumitomo, and broader international formulation buyers. Premium-grade extraction infrastructure (rapid drying without overheating; cool dark storage; structured pyrethrins-content testing; cooperative-and-commercial extraction operators) represents one of Kenya’s most distinctive specialty-cash-crop commercial-development opportunities.</w:t>
      </w:r>
    </w:p>
    <w:p>
      <w:pPr>
        <w:pStyle w:val="ListParagraph"/>
        <w:numPr>
          <w:ilvl w:val="0"/>
          <w:numId w:val="2"/>
        </w:numPr>
        <w:spacing w:after="80" w:line="290"/>
      </w:pPr>
      <w:r>
        <w:rPr>
          <w:rFonts w:ascii="Calibri" w:cs="Calibri" w:eastAsia="Calibri" w:hAnsi="Calibri"/>
          <w:b/>
          <w:bCs/>
          <w:color w:val="2E7D32"/>
          <w:sz w:val="22"/>
          <w:szCs w:val="22"/>
        </w:rPr>
        <w:t xml:space="preserve">Modernise sugarcane mill recovery and cogeneration. </w:t>
      </w:r>
      <w:r>
        <w:rPr>
          <w:rFonts w:ascii="Calibri" w:cs="Calibri" w:eastAsia="Calibri" w:hAnsi="Calibri"/>
          <w:color w:val="1B1B1B"/>
          <w:sz w:val="22"/>
          <w:szCs w:val="22"/>
        </w:rPr>
        <w:t xml:space="preserve">Mill-recovery-rate improvement (11–12% modern versus 8–9% legacy), cogeneration capacity expansion (electricity sale alongside sugar production), refining-and-value-add integration represent the regional sugar-industry commercial-development trajectory — with Madhvani-affiliated Kakira and Illovo-affiliated Kilombero providing reference integrated-mill commercial models.</w:t>
      </w:r>
    </w:p>
    <w:p>
      <w:pPr>
        <w:pBdr>
          <w:bottom w:val="single" w:color="79B93E" w:sz="6" w:space="1"/>
        </w:pBdr>
        <w:spacing w:after="60" w:before="60"/>
      </w:pPr>
      <w:r>
        <w:t xml:space="preserve"/>
      </w:r>
    </w:p>
    <w:p>
      <w:pPr>
        <w:pStyle w:val="Heading2"/>
        <w:spacing w:after="100" w:before="220"/>
      </w:pPr>
      <w:r>
        <w:rPr>
          <w:rFonts w:ascii="Calibri" w:cs="Calibri" w:eastAsia="Calibri" w:hAnsi="Calibri"/>
          <w:b/>
          <w:bCs/>
          <w:color w:val="2E7D32"/>
          <w:sz w:val="26"/>
          <w:szCs w:val="26"/>
        </w:rPr>
        <w:t xml:space="preserve">Editor’s note</w:t>
      </w:r>
    </w:p>
    <w:p>
      <w:pPr>
        <w:spacing w:after="120" w:line="300"/>
      </w:pPr>
      <w:r>
        <w:rPr>
          <w:rFonts w:ascii="Calibri" w:cs="Calibri" w:eastAsia="Calibri" w:hAnsi="Calibri"/>
          <w:color w:val="1B1B1B"/>
          <w:sz w:val="22"/>
          <w:szCs w:val="22"/>
        </w:rPr>
        <w:t xml:space="preserve">This Issue is the fourth of nine planned in Post-Harvest Series 1. Cash-crop post-harvest infrastructure, equipment availability, processor-and-exporter commercial structures, regulatory standards (particularly tobacco regulatory transition under EUDR and global tobacco-control pressures, plus emerging coffee-and-cocoa deforestation-free certification frameworks), and direct-trade-and-auction commercial models all evolve year-by-year. Corrections, updates, and contemporary commercial-pilot information from extension officers, equipment suppliers, processors, exporters, cooperatives and growers are welcomed at editor@kilimokwanza.org.</w:t>
      </w:r>
    </w:p>
    <w:p>
      <w:pPr>
        <w:spacing w:after="120" w:line="300"/>
      </w:pPr>
      <w:r>
        <w:rPr>
          <w:rFonts w:ascii="Calibri" w:cs="Calibri" w:eastAsia="Calibri" w:hAnsi="Calibri"/>
          <w:color w:val="1B1B1B"/>
          <w:sz w:val="22"/>
          <w:szCs w:val="22"/>
        </w:rPr>
        <w:t xml:space="preserve">Coming next — Issue 5 • Roots &amp; Tubers Post-Harvest: sweet potato (with the OFSP value-add story moving from Series 1 Issue 6 of the Seed Series), cassava (with the structural cyanide-management discipline plus emerging high-quality cassava flour processing), and yam (the cultural-staple emerging into commercial channels). The crop category where post-harvest carries unique disciplines: cassava cyanide management, sweet potato curing, yam storage, and the regional flour-and-processing infrastructure question.</w:t>
      </w:r>
    </w:p>
    <w:p>
      <w:pPr>
        <w:spacing w:after="120" w:line="300"/>
      </w:pPr>
      <w:r>
        <w:rPr>
          <w:rFonts w:ascii="Calibri" w:cs="Calibri" w:eastAsia="Calibri" w:hAnsi="Calibri"/>
          <w:i/>
          <w:iCs/>
          <w:color w:val="5F6263"/>
          <w:sz w:val="20"/>
          <w:szCs w:val="20"/>
        </w:rPr>
        <w:t xml:space="preserve">Compiled by the Kilimokwanza Editorial Desk  •  Series Editor: Anthony Muchoki  •  </w:t>
      </w:r>
      <w:r>
        <w:rPr>
          <w:rFonts w:ascii="Calibri" w:cs="Calibri" w:eastAsia="Calibri" w:hAnsi="Calibri"/>
          <w:b/>
          <w:bCs/>
          <w:i/>
          <w:iCs/>
          <w:color w:val="2E7D32"/>
          <w:sz w:val="20"/>
          <w:szCs w:val="20"/>
        </w:rPr>
        <w:t xml:space="preserve">kilimokwanza.org</w:t>
      </w:r>
    </w:p>
    <w:sectPr>
      <w:headerReference w:type="default" r:id="rId7"/>
      <w:footerReference w:type="default" r:id="rId8"/>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79B93E" w:sz="6" w:space="4"/>
      </w:pBdr>
      <w:tabs>
        <w:tab w:val="center" w:pos="4680"/>
        <w:tab w:val="right" w:pos="9026"/>
      </w:tabs>
    </w:pPr>
    <w:r>
      <w:rPr>
        <w:rFonts w:ascii="Calibri" w:cs="Calibri" w:eastAsia="Calibri" w:hAnsi="Calibri"/>
        <w:color w:val="5F6263"/>
        <w:sz w:val="18"/>
        <w:szCs w:val="18"/>
      </w:rPr>
      <w:t xml:space="preserve">© 2026 Kilimokwanza.org</w:t>
    </w:r>
    <w:r>
      <w:t xml:space="preserve">	</w:t>
    </w:r>
    <w:r>
      <w:rPr>
        <w:rFonts w:ascii="Calibri" w:cs="Calibri" w:eastAsia="Calibri" w:hAnsi="Calibri"/>
        <w:i/>
        <w:iCs/>
        <w:color w:val="5F6263"/>
        <w:sz w:val="18"/>
        <w:szCs w:val="18"/>
      </w:rPr>
      <w:t xml:space="preserve">Cash Crops Post-Harvest  •  East Africa</w:t>
    </w:r>
    <w:r>
      <w:t xml:space="preserve">	</w:t>
    </w:r>
    <w:r>
      <w:rPr>
        <w:rFonts w:ascii="Calibri" w:cs="Calibri" w:eastAsia="Calibri" w:hAnsi="Calibri"/>
        <w:color w:val="5F6263"/>
        <w:sz w:val="18"/>
        <w:szCs w:val="18"/>
      </w:rPr>
      <w:t xml:space="preserve">Page </w:t>
    </w:r>
    <w:r>
      <w:rPr>
        <w:rFonts w:ascii="Calibri" w:cs="Calibri" w:eastAsia="Calibri" w:hAnsi="Calibri"/>
        <w:color w:val="5F6263"/>
        <w:sz w:val="18"/>
        <w:szCs w:val="18"/>
      </w:rPr>
      <w:fldChar w:fldCharType="begin"/>
      <w:instrText xml:space="preserve">PAGE</w:instrText>
      <w:fldChar w:fldCharType="separate"/>
      <w:fldChar w:fldCharType="end"/>
    </w:r>
    <w:r>
      <w:rPr>
        <w:rFonts w:ascii="Calibri" w:cs="Calibri" w:eastAsia="Calibri" w:hAnsi="Calibri"/>
        <w:color w:val="5F6263"/>
        <w:sz w:val="18"/>
        <w:szCs w:val="18"/>
      </w:rPr>
      <w:t xml:space="preserve"> of </w:t>
    </w:r>
    <w:r>
      <w:rPr>
        <w:rFonts w:ascii="Calibri" w:cs="Calibri" w:eastAsia="Calibri" w:hAnsi="Calibri"/>
        <w:color w:val="5F6263"/>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79B93E" w:sz="6" w:space="4"/>
      </w:pBdr>
      <w:tabs>
        <w:tab w:val="right" w:pos="9026"/>
      </w:tabs>
      <w:spacing w:after="60"/>
    </w:pPr>
    <w:r>
      <w:rPr>
        <w:rFonts w:ascii="Calibri" w:cs="Calibri" w:eastAsia="Calibri" w:hAnsi="Calibri"/>
        <w:b/>
        <w:bCs/>
        <w:color w:val="2E7D32"/>
        <w:spacing w:val="40"/>
        <w:sz w:val="22"/>
        <w:szCs w:val="22"/>
      </w:rPr>
      <w:t xml:space="preserve">KILIMOKWANZA</w:t>
    </w:r>
    <w:r>
      <w:rPr>
        <w:rFonts w:ascii="Calibri" w:cs="Calibri" w:eastAsia="Calibri" w:hAnsi="Calibri"/>
        <w:color w:val="5F6263"/>
        <w:sz w:val="18"/>
        <w:szCs w:val="18"/>
      </w:rPr>
      <w:t xml:space="preserve">  |  Agriculture &amp; Agribusiness, East Africa</w:t>
    </w:r>
    <w:r>
      <w:t xml:space="preserve">	</w:t>
    </w:r>
    <w:r>
      <w:rPr>
        <w:rFonts w:ascii="Calibri" w:cs="Calibri" w:eastAsia="Calibri" w:hAnsi="Calibri"/>
        <w:i/>
        <w:iCs/>
        <w:color w:val="5F6263"/>
        <w:sz w:val="18"/>
        <w:szCs w:val="18"/>
      </w:rPr>
      <w:t xml:space="preserve">Post-Harvest Series 1 / Issue 4  •  2026  •  Cash Crops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rPr>
        <w:color w:val="79B93E"/>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240"/>
      <w:outlineLvl w:val="0"/>
    </w:pPr>
    <w:rPr>
      <w:rFonts w:ascii="Calibri" w:cs="Calibri" w:eastAsia="Calibri" w:hAnsi="Calibri"/>
      <w:b/>
      <w:bCs/>
      <w:color w:val="2E7D32"/>
      <w:sz w:val="32"/>
      <w:szCs w:val="32"/>
    </w:rPr>
  </w:style>
  <w:style w:type="paragraph" w:styleId="Heading2">
    <w:name w:val="Heading 2"/>
    <w:basedOn w:val="Normal"/>
    <w:next w:val="Normal"/>
    <w:qFormat/>
    <w:pPr>
      <w:spacing w:after="100" w:before="220"/>
      <w:outlineLvl w:val="1"/>
    </w:pPr>
    <w:rPr>
      <w:rFonts w:ascii="Calibri" w:cs="Calibri" w:eastAsia="Calibri" w:hAnsi="Calibri"/>
      <w:b/>
      <w:bCs/>
      <w:color w:val="2E7D32"/>
      <w:sz w:val="26"/>
      <w:szCs w:val="26"/>
    </w:rPr>
  </w:style>
  <w:style w:type="paragraph" w:styleId="Heading3">
    <w:name w:val="Heading 3"/>
    <w:basedOn w:val="Normal"/>
    <w:next w:val="Normal"/>
    <w:qFormat/>
    <w:pPr>
      <w:spacing w:after="60" w:before="160"/>
      <w:outlineLvl w:val="2"/>
    </w:pPr>
    <w:rPr>
      <w:rFonts w:ascii="Calibri" w:cs="Calibri" w:eastAsia="Calibri" w:hAnsi="Calibri"/>
      <w:b/>
      <w:bCs/>
      <w:color w:val="1B1B1B"/>
      <w:sz w:val="23"/>
      <w:szCs w:val="23"/>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Post-Harvest Series 1 / Issue 4 — Cash Crops</dc:title>
  <dc:creator>Kilimokwanza.org</dc:creator>
  <dc:description>A post-harvest-and-processing infrastructure audit of the six cash crops most central to East African agriculture: coffee, cocoa, tea, tobacco, pyrethrum, sugarcane.</dc:description>
  <cp:lastModifiedBy>Un-named</cp:lastModifiedBy>
  <cp:revision>1</cp:revision>
  <dcterms:created xsi:type="dcterms:W3CDTF">2026-05-03T08:10:03.022Z</dcterms:created>
  <dcterms:modified xsi:type="dcterms:W3CDTF">2026-05-03T08:10:03.035Z</dcterms:modified>
</cp:coreProperties>
</file>

<file path=docProps/custom.xml><?xml version="1.0" encoding="utf-8"?>
<Properties xmlns="http://schemas.openxmlformats.org/officeDocument/2006/custom-properties" xmlns:vt="http://schemas.openxmlformats.org/officeDocument/2006/docPropsVTypes"/>
</file>