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8"/>
              <w:right w:val="none" w:color="FFFFFF" w:sz="0"/>
            </w:tcBorders>
            <w:shd w:fill="2E7D32" w:val="clear"/>
            <w:tcMar>
              <w:top w:type="dxa" w:w="320"/>
              <w:left w:type="dxa" w:w="280"/>
              <w:bottom w:type="dxa" w:w="320"/>
              <w:right w:type="dxa" w:w="280"/>
            </w:tcMar>
          </w:tcPr>
          <w:p>
            <w:pPr>
              <w:spacing w:after="60"/>
            </w:pPr>
            <w:r>
              <w:rPr>
                <w:rFonts w:ascii="Calibri" w:cs="Calibri" w:eastAsia="Calibri" w:hAnsi="Calibri"/>
                <w:b/>
                <w:bCs/>
                <w:color w:val="FFFFFF"/>
                <w:spacing w:val="40"/>
                <w:sz w:val="18"/>
                <w:szCs w:val="18"/>
              </w:rPr>
              <w:t xml:space="preserve">POST-HARVEST SERIES  /  SERIES 1 / ISSUE 3  •  2026</w:t>
            </w:r>
          </w:p>
          <w:p>
            <w:pPr>
              <w:spacing w:after="80"/>
            </w:pPr>
            <w:r>
              <w:rPr>
                <w:rFonts w:ascii="Calibri" w:cs="Calibri" w:eastAsia="Calibri" w:hAnsi="Calibri"/>
                <w:b/>
                <w:bCs/>
                <w:color w:val="FFFFFF"/>
                <w:sz w:val="38"/>
                <w:szCs w:val="38"/>
              </w:rPr>
              <w:t xml:space="preserve">Oilseeds — Post-Harvest &amp; Processing</w:t>
            </w:r>
          </w:p>
          <w:p>
            <w:r>
              <w:rPr>
                <w:rFonts w:ascii="Calibri" w:cs="Calibri" w:eastAsia="Calibri" w:hAnsi="Calibri"/>
                <w:i/>
                <w:iCs/>
                <w:color w:val="FFFFFF"/>
                <w:sz w:val="24"/>
                <w:szCs w:val="24"/>
              </w:rPr>
              <w:t xml:space="preserve">The six oilseed crops that anchor regional cooking-oil supply, structural export economics, and emerging industrial-oil and biofuel value chains</w:t>
            </w:r>
          </w:p>
        </w:tc>
      </w:tr>
    </w:tbl>
    <w:p>
      <w:r>
        <w:t xml:space="preserve"/>
      </w:r>
    </w:p>
    <w:p>
      <w:pPr>
        <w:spacing w:after="120" w:line="300"/>
      </w:pPr>
      <w:r>
        <w:rPr>
          <w:rFonts w:ascii="Calibri" w:cs="Calibri" w:eastAsia="Calibri" w:hAnsi="Calibri"/>
          <w:color w:val="5F6263"/>
          <w:sz w:val="20"/>
          <w:szCs w:val="20"/>
        </w:rPr>
        <w:t xml:space="preserve">Published by </w:t>
      </w:r>
      <w:r>
        <w:rPr>
          <w:rFonts w:ascii="Calibri" w:cs="Calibri" w:eastAsia="Calibri" w:hAnsi="Calibri"/>
          <w:b/>
          <w:bCs/>
          <w:color w:val="2E7D32"/>
          <w:sz w:val="20"/>
          <w:szCs w:val="20"/>
        </w:rPr>
        <w:t xml:space="preserve">Kilimokwanza.org</w:t>
      </w:r>
      <w:r>
        <w:rPr>
          <w:rFonts w:ascii="Calibri" w:cs="Calibri" w:eastAsia="Calibri" w:hAnsi="Calibri"/>
          <w:color w:val="5F6263"/>
          <w:sz w:val="20"/>
          <w:szCs w:val="20"/>
        </w:rPr>
        <w:t xml:space="preserve">  |  Region: Kenya, Tanzania, Uganda, Rwanda, Burundi  |  Crops covered: Sunflower, Sesame, Canola, Cottonseed, Linseed, Castor</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introduction</w:t>
      </w:r>
    </w:p>
    <w:p>
      <w:pPr>
        <w:spacing w:after="120" w:line="300"/>
      </w:pPr>
      <w:r>
        <w:rPr>
          <w:rFonts w:ascii="Calibri" w:cs="Calibri" w:eastAsia="Calibri" w:hAnsi="Calibri"/>
          <w:color w:val="1B1B1B"/>
          <w:sz w:val="22"/>
          <w:szCs w:val="22"/>
        </w:rPr>
        <w:t xml:space="preserve">This Issue is the third instalment of the Kilimokwanza Post-Harvest &amp; Processing Series. Where Issue 1 (Cereals) anchored the drying-and-storage discipline that defines all regional cereal economics, and Issue 2 (Legumes) anchored the bruchid-management and groundnut-aflatoxin disciplines, Issue 3 (Oilseeds) anchors the structural cooking-oil-deficit story — the regional commercial reality that domestic oilseed production sits structurally below domestic cooking-oil consumption demand, with imported palm oil, sunflower oil, and other vegetable oils filling the persistent gap.</w:t>
      </w:r>
    </w:p>
    <w:p>
      <w:pPr>
        <w:spacing w:after="120" w:line="300"/>
      </w:pPr>
      <w:r>
        <w:rPr>
          <w:rFonts w:ascii="Calibri" w:cs="Calibri" w:eastAsia="Calibri" w:hAnsi="Calibri"/>
          <w:color w:val="1B1B1B"/>
          <w:sz w:val="22"/>
          <w:szCs w:val="22"/>
        </w:rPr>
        <w:t xml:space="preserve">This Issue covers the six oilseed crops that anchored Seed Series Issue 4: sunflower (the regional cooking-oil leader), sesame (the structural export oilseed with Tanzania-anchored production-and-export infrastructure), canola (the emerging highland premium-cooking-oil crop), cottonseed (the ginning-by-product oilseed), linseed (the omega-3 premium-niche emerging crop), and castor (the industrial-and-biofuel-frontier crop with safety-and-segregation post-harvest disciplines).</w:t>
      </w:r>
    </w:p>
    <w:p>
      <w:pPr>
        <w:spacing w:after="120" w:line="300"/>
      </w:pPr>
      <w:r>
        <w:rPr>
          <w:rFonts w:ascii="Calibri" w:cs="Calibri" w:eastAsia="Calibri" w:hAnsi="Calibri"/>
          <w:color w:val="1B1B1B"/>
          <w:sz w:val="22"/>
          <w:szCs w:val="22"/>
        </w:rPr>
        <w:t xml:space="preserve">Three structural through-lines connect the six oilseeds. First, the contracted-grower-and-crusher commercial model dominates: sunflower (Bidco, Mukwano, Bakhresa, Mount Meru); sesame (Olam, ETG, AGCOT-cluster aggregators); cottonseed (downstream of ginning operations); canola (Bidco-affiliated highland pilots); castor (industrial-customer-affiliated aggregators). Second, the post-harvest discipline determines export-versus-domestic-grade: sesame Japanese-buyer specifications drive the regional grading-and-cleaning infrastructure investment case. Third, value-add infrastructure (refining, premium retail brand integration, cold-pressed specialty operators) carries the structural commercial trajectory across all six crops.</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THE COOKING-OIL IMPORT SUBSTITUTION QUESTION</w:t>
            </w:r>
          </w:p>
          <w:p>
            <w:pPr>
              <w:spacing w:after="100" w:line="290"/>
            </w:pPr>
            <w:r>
              <w:rPr>
                <w:rFonts w:ascii="Calibri" w:cs="Calibri" w:eastAsia="Calibri" w:hAnsi="Calibri"/>
                <w:color w:val="1B1B1B"/>
                <w:sz w:val="21"/>
                <w:szCs w:val="21"/>
              </w:rPr>
              <w:t xml:space="preserve">Regional cooking-oil consumption sits structurally above domestic oilseed production. East African per-capita vegetable-oil consumption has risen steadily through the 2010s and 2020s alongside urbanisation and rising household income, with regional consumption now estimated at over 2.5 million tonnes annually. Domestic oilseed production — sunflower (the dominant regional source), sesame (predominantly exported), cottonseed (by-product of ginning), canola (pilot-stage), linseed (pilot-stage), castor (industrial-only) — supplies a structural minority of the cooking-oil consumption demand.</w:t>
            </w:r>
          </w:p>
          <w:p>
            <w:pPr>
              <w:spacing w:after="100" w:line="290"/>
            </w:pPr>
            <w:r>
              <w:rPr>
                <w:rFonts w:ascii="Calibri" w:cs="Calibri" w:eastAsia="Calibri" w:hAnsi="Calibri"/>
                <w:color w:val="1B1B1B"/>
                <w:sz w:val="21"/>
                <w:szCs w:val="21"/>
              </w:rPr>
              <w:t xml:space="preserve">Imported palm oil from Indonesia and Malaysia is the dominant residual filler. Imported sunflower oil from Russia, Ukraine, Argentina and the United States supplements the domestic sunflower supply. Imported soybean oil from Argentina, Brazil and the United States supplements the domestic soybean crushing covered in Issue 2. The aggregate import bill represents one of the largest single foreign-exchange outflows in regional agriculture-and-food economics.</w:t>
            </w:r>
          </w:p>
          <w:p>
            <w:pPr>
              <w:spacing w:after="100" w:line="290"/>
            </w:pPr>
            <w:r>
              <w:rPr>
                <w:rFonts w:ascii="Calibri" w:cs="Calibri" w:eastAsia="Calibri" w:hAnsi="Calibri"/>
                <w:color w:val="1B1B1B"/>
                <w:sz w:val="21"/>
                <w:szCs w:val="21"/>
              </w:rPr>
              <w:t xml:space="preserve">The infrastructure to absorb production scale-up is in place. Bidco Africa, Mukwano, Bakhresa Group, Mount Meru Millers, Pwani Oil, Kapa Oil and a network of medium-scale crushing operators run regional refining-and-packaging operations at significant capacity — some operating below capacity due to insufficient domestic seed supply. The available structural commercial-development opportunity is straightforward: scale domestic oilseed production, particularly sunflower in Tanzanian and Ugandan production heartlands, and the existing crushing-and-refining infrastructure absorbs the additional volume.</w:t>
            </w:r>
          </w:p>
          <w:p>
            <w:pPr>
              <w:spacing w:after="0" w:line="290"/>
            </w:pPr>
            <w:r>
              <w:rPr>
                <w:rFonts w:ascii="Calibri" w:cs="Calibri" w:eastAsia="Calibri" w:hAnsi="Calibri"/>
                <w:color w:val="1B1B1B"/>
                <w:sz w:val="21"/>
                <w:szCs w:val="21"/>
              </w:rPr>
              <w:t xml:space="preserve">For governments and impact investors, oilseed import substitution is the regional cooking-oil-deficit answer with the strongest available domestic-production-scale-up case. The economics are clear; the infrastructure is in place; the contracted-grower commercial model is functional. The remaining work is production expansion at scale.</w:t>
            </w:r>
          </w:p>
        </w:tc>
      </w:tr>
    </w:tbl>
    <w:p>
      <w:r>
        <w:t xml:space="preserve"/>
      </w:r>
    </w:p>
    <w:p>
      <w:pPr>
        <w:pStyle w:val="Heading2"/>
        <w:spacing w:after="100" w:before="220"/>
      </w:pPr>
      <w:r>
        <w:rPr>
          <w:rFonts w:ascii="Calibri" w:cs="Calibri" w:eastAsia="Calibri" w:hAnsi="Calibri"/>
          <w:b/>
          <w:bCs/>
          <w:color w:val="2E7D32"/>
          <w:sz w:val="26"/>
          <w:szCs w:val="26"/>
        </w:rPr>
        <w:t xml:space="preserve">The six oilseeds at a glance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1500"/>
        <w:gridCol w:w="1500"/>
        <w:gridCol w:w="1620"/>
        <w:gridCol w:w="1740"/>
      </w:tblGrid>
      <w:tr>
        <w:trPr>
          <w:tblHeader/>
        </w:trPr>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Crop</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Loss range</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Drying target</w:t>
            </w:r>
          </w:p>
        </w:tc>
        <w:tc>
          <w:tcPr>
            <w:tcW w:type="dxa" w:w="150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Storage</w:t>
            </w:r>
          </w:p>
        </w:tc>
        <w:tc>
          <w:tcPr>
            <w:tcW w:type="dxa" w:w="162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Primary processing</w:t>
            </w:r>
          </w:p>
        </w:tc>
        <w:tc>
          <w:tcPr>
            <w:tcW w:type="dxa" w:w="1740"/>
            <w:tcBorders>
              <w:top w:val="single" w:color="FFFFFF" w:sz="4"/>
              <w:left w:val="single" w:color="FFFFFF" w:sz="4"/>
              <w:bottom w:val="single" w:color="FFFFFF" w:sz="4"/>
              <w:right w:val="single" w:color="FFFFFF" w:sz="4"/>
            </w:tcBorders>
            <w:shd w:fill="2E7D32" w:val="clear"/>
            <w:tcMar>
              <w:top w:type="dxa" w:w="100"/>
              <w:left w:type="dxa" w:w="120"/>
              <w:bottom w:type="dxa" w:w="100"/>
              <w:right w:type="dxa" w:w="120"/>
            </w:tcMar>
          </w:tcPr>
          <w:p>
            <w:r>
              <w:rPr>
                <w:rFonts w:ascii="Calibri" w:cs="Calibri" w:eastAsia="Calibri" w:hAnsi="Calibri"/>
                <w:b/>
                <w:bCs/>
                <w:color w:val="FFFFFF"/>
                <w:sz w:val="19"/>
                <w:szCs w:val="19"/>
              </w:rPr>
              <w:t xml:space="preserve">Lead market</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Sunflower</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8–9%</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Bulk silos, PICS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Solvent + expeller</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Domestic cooking oil</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Sesame</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6–8%</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Polypropylene, hermetic</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Sort-and-grade for export</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Japan + Asia + Middle East</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Canola</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8–9%</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Bulk silos</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Solvent extraction</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Premium cooking oil emerging</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Cottonseed</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5–15%</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10–12%</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Ginning warehouse</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Oil + meal (gossypol)</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Cooking oil + livestock feed</w:t>
            </w:r>
          </w:p>
        </w:tc>
      </w:tr>
      <w:tr>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Linseed</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8–9%</w:t>
            </w:r>
          </w:p>
        </w:tc>
        <w:tc>
          <w:tcPr>
            <w:tcW w:type="dxa" w:w="150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Polypropylene</w:t>
            </w:r>
          </w:p>
        </w:tc>
        <w:tc>
          <w:tcPr>
            <w:tcW w:type="dxa" w:w="162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Cold-pressed oil</w:t>
            </w:r>
          </w:p>
        </w:tc>
        <w:tc>
          <w:tcPr>
            <w:tcW w:type="dxa" w:w="1740"/>
            <w:tcBorders>
              <w:top w:val="single" w:color="DDDDDD" w:sz="2"/>
              <w:left w:val="single" w:color="DDDDDD" w:sz="2"/>
              <w:bottom w:val="single" w:color="DDDDDD" w:sz="2"/>
              <w:right w:val="single" w:color="DDDDDD" w:sz="2"/>
            </w:tcBorders>
            <w:shd w:fill="FFFFFF" w:val="clear"/>
            <w:tcMar>
              <w:top w:type="dxa" w:w="80"/>
              <w:left w:type="dxa" w:w="120"/>
              <w:bottom w:type="dxa" w:w="80"/>
              <w:right w:type="dxa" w:w="120"/>
            </w:tcMar>
          </w:tcPr>
          <w:p>
            <w:r>
              <w:rPr>
                <w:rFonts w:ascii="Calibri" w:cs="Calibri" w:eastAsia="Calibri" w:hAnsi="Calibri"/>
                <w:color w:val="1B1B1B"/>
                <w:sz w:val="18"/>
                <w:szCs w:val="18"/>
              </w:rPr>
              <w:t xml:space="preserve">Omega-3 premium retail</w:t>
            </w:r>
          </w:p>
        </w:tc>
      </w:tr>
      <w:tr>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Castor</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10–20%</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8–9%</w:t>
            </w:r>
          </w:p>
        </w:tc>
        <w:tc>
          <w:tcPr>
            <w:tcW w:type="dxa" w:w="150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Segregated industrial</w:t>
            </w:r>
          </w:p>
        </w:tc>
        <w:tc>
          <w:tcPr>
            <w:tcW w:type="dxa" w:w="162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Industrial oil + cake (toxic)</w:t>
            </w:r>
          </w:p>
        </w:tc>
        <w:tc>
          <w:tcPr>
            <w:tcW w:type="dxa" w:w="1740"/>
            <w:tcBorders>
              <w:top w:val="single" w:color="DDDDDD" w:sz="2"/>
              <w:left w:val="single" w:color="DDDDDD" w:sz="2"/>
              <w:bottom w:val="single" w:color="DDDDDD" w:sz="2"/>
              <w:right w:val="single" w:color="DDDDDD" w:sz="2"/>
            </w:tcBorders>
            <w:shd w:fill="E8F1E2" w:val="clear"/>
            <w:tcMar>
              <w:top w:type="dxa" w:w="80"/>
              <w:left w:type="dxa" w:w="120"/>
              <w:bottom w:type="dxa" w:w="80"/>
              <w:right w:type="dxa" w:w="120"/>
            </w:tcMar>
          </w:tcPr>
          <w:p>
            <w:r>
              <w:rPr>
                <w:rFonts w:ascii="Calibri" w:cs="Calibri" w:eastAsia="Calibri" w:hAnsi="Calibri"/>
                <w:color w:val="1B1B1B"/>
                <w:sz w:val="18"/>
                <w:szCs w:val="18"/>
              </w:rPr>
              <w:t xml:space="preserve">Industrial + pharma + biofuel</w:t>
            </w:r>
          </w:p>
        </w:tc>
      </w:tr>
    </w:tbl>
    <w:p>
      <w:r>
        <w:t xml:space="preserve"/>
      </w:r>
    </w:p>
    <w:p>
      <w:pPr>
        <w:spacing w:after="120" w:line="300"/>
      </w:pPr>
      <w:r>
        <w:rPr>
          <w:rFonts w:ascii="Calibri" w:cs="Calibri" w:eastAsia="Calibri" w:hAnsi="Calibri"/>
          <w:i/>
          <w:iCs/>
          <w:color w:val="5F6263"/>
          <w:sz w:val="20"/>
          <w:szCs w:val="20"/>
        </w:rPr>
        <w:t xml:space="preserve">Read across: </w:t>
      </w:r>
      <w:r>
        <w:rPr>
          <w:rFonts w:ascii="Calibri" w:cs="Calibri" w:eastAsia="Calibri" w:hAnsi="Calibri"/>
          <w:i/>
          <w:iCs/>
          <w:color w:val="5F6263"/>
          <w:sz w:val="20"/>
          <w:szCs w:val="20"/>
        </w:rPr>
        <w:t xml:space="preserve">the loss-range column tells the structural story. Most regional oilseeds sit at 10–20% smallholder loss with cottonseed as the exception (5–15%) reflecting its post-ginning commercial-scale handling. The drying-target column anchors the foundational discipline. The lead-market column traces each crop’s commercial proposition: domestic cooking oil (sunflower, canola, cottonseed, linseed); structural export (sesame); industrial-and-biofuel (castor). The contracted-grower-and-crusher commercial model recurs across the category; the post-harvest discipline determines export-versus-domestic-grade differentiation.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01</w:t>
            </w:r>
          </w:p>
          <w:p>
            <w:pPr>
              <w:spacing w:after="40"/>
            </w:pPr>
            <w:r>
              <w:rPr>
                <w:rFonts w:ascii="Calibri" w:cs="Calibri" w:eastAsia="Calibri" w:hAnsi="Calibri"/>
                <w:b/>
                <w:bCs/>
                <w:color w:val="FFFFFF"/>
                <w:sz w:val="36"/>
                <w:szCs w:val="36"/>
              </w:rPr>
              <w:t xml:space="preserve">Sunflower</w:t>
            </w:r>
          </w:p>
          <w:p>
            <w:r>
              <w:rPr>
                <w:rFonts w:ascii="Calibri" w:cs="Calibri" w:eastAsia="Calibri" w:hAnsi="Calibri"/>
                <w:i/>
                <w:iCs/>
                <w:color w:val="FFFFFF"/>
                <w:sz w:val="20"/>
                <w:szCs w:val="20"/>
              </w:rPr>
              <w:t xml:space="preserve">Helianthus annuus</w:t>
            </w:r>
            <w:r>
              <w:rPr>
                <w:rFonts w:ascii="Calibri" w:cs="Calibri" w:eastAsia="Calibri" w:hAnsi="Calibri"/>
                <w:color w:val="FFFFFF"/>
                <w:sz w:val="20"/>
                <w:szCs w:val="20"/>
              </w:rPr>
              <w:t xml:space="preserve">   •   Alizeti (Sw)  •  Mahaba (Sw, regional)  •  The regional cooking-oil leader</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3–7% (commercial-grade)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8–9% kernel moisture content for safe storage and crushing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Bulk silos (commercial); polypropylene bags (smallholder); hermetic emerging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Central &amp; Lake Zone TZ (the regional production leader — Singida, Dodoma, Manyara, Iringa); Eastern UG; Mt Kenya &amp; Rift Valley KE; minor RW; minor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Sunflower is East Africa’s leading domestic oilseed by production volume and the central crop in any regional cooking-oil import-substitution discussion. Tanzania anchors regional production (with Singida, Dodoma, Manyara and Iringa as the principal heartland); Uganda’s Eastern Region adds significant volume; Kenyan production through Mt Kenya and Rift Valley is moderate; Rwanda and Burundi production is limited. Annual regional production sits at approximately 1.2–1.5 million tonnes, with steady expansion through 2020s contracted-grower programmes anchored by Bidco, Mukwano, Bakhresa, Mount Meru Millers, and a network of medium-scale crushing operators.</w:t>
      </w:r>
    </w:p>
    <w:p>
      <w:pPr>
        <w:spacing w:after="120" w:line="300"/>
      </w:pPr>
      <w:r>
        <w:rPr>
          <w:rFonts w:ascii="Calibri" w:cs="Calibri" w:eastAsia="Calibri" w:hAnsi="Calibri"/>
          <w:color w:val="1B1B1B"/>
          <w:sz w:val="22"/>
          <w:szCs w:val="22"/>
        </w:rPr>
        <w:t xml:space="preserve">Sunflower post-harvest economics are dominated by the contracted-grower-and-crusher commercial model. Most regional production moves through structured aggregation with quality-graded delivery to crushing mills; the residual smallholder-direct trade carries higher loss rates and lower prices. The two principal sunflower types — confectionery (large-seed, high-oleic, often hand-roasted snack market) and oil-type (small-seed, 40–46% oil content, the dominant commercial-crushing variety) — carry distinct post-harvest disciplines, with oil-type representing 90%+ of regional commercial production.</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when seeds are plump and the back of the head has turned brown (typically 30–45 days after flowering); seeds at 15–20% moisture at harvest. Bird damage during seed-fill is the principal pre-harvest loss driver; netting and bird-scaring is increasingly common at commercial scale.</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Hand-threshing on tarps at smallholder scale; mechanical threshing at cooperative scale; combine harvesting at commercial scale. Threshing damage produces broken kernels that lose oil-extraction yield.</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or mechanical drying to 8–9% moisture for safe storage and optimal crushing. Over-dry seed (below 6%) causes crushing problems; under-dry seed (above 10%) invites mould and oil-quality degradation.</w:t>
      </w:r>
    </w:p>
    <w:p>
      <w:pPr>
        <w:pStyle w:val="ListParagraph"/>
        <w:numPr>
          <w:ilvl w:val="0"/>
          <w:numId w:val="2"/>
        </w:numPr>
        <w:spacing w:after="80" w:line="290"/>
      </w:pPr>
      <w:r>
        <w:rPr>
          <w:rFonts w:ascii="Calibri" w:cs="Calibri" w:eastAsia="Calibri" w:hAnsi="Calibri"/>
          <w:b/>
          <w:bCs/>
          <w:color w:val="1B1B1B"/>
          <w:sz w:val="22"/>
          <w:szCs w:val="22"/>
        </w:rPr>
        <w:t xml:space="preserve">Cleaning: </w:t>
      </w:r>
      <w:r>
        <w:rPr>
          <w:rFonts w:ascii="Calibri" w:cs="Calibri" w:eastAsia="Calibri" w:hAnsi="Calibri"/>
          <w:color w:val="1B1B1B"/>
          <w:sz w:val="22"/>
          <w:szCs w:val="22"/>
        </w:rPr>
        <w:t xml:space="preserve">Air-screen cleaners and rotary cleaners at commercial scale; hand-winnowing at smallholder scale. Foreign matter (stalks, leaves, soil) reduces crushing efficiency and oil-extraction yield.</w:t>
      </w:r>
    </w:p>
    <w:p>
      <w:pPr>
        <w:pStyle w:val="ListParagraph"/>
        <w:numPr>
          <w:ilvl w:val="0"/>
          <w:numId w:val="2"/>
        </w:numPr>
        <w:spacing w:after="80" w:line="290"/>
      </w:pPr>
      <w:r>
        <w:rPr>
          <w:rFonts w:ascii="Calibri" w:cs="Calibri" w:eastAsia="Calibri" w:hAnsi="Calibri"/>
          <w:b/>
          <w:bCs/>
          <w:color w:val="1B1B1B"/>
          <w:sz w:val="22"/>
          <w:szCs w:val="22"/>
        </w:rPr>
        <w:t xml:space="preserve">Storage — commercial: </w:t>
      </w:r>
      <w:r>
        <w:rPr>
          <w:rFonts w:ascii="Calibri" w:cs="Calibri" w:eastAsia="Calibri" w:hAnsi="Calibri"/>
          <w:color w:val="1B1B1B"/>
          <w:sz w:val="22"/>
          <w:szCs w:val="22"/>
        </w:rPr>
        <w:t xml:space="preserve">Bulk silos at crushing-mill aggregation centres with integrated moisture and temperature monitoring; phosphine fumigation for long-term storage.</w:t>
      </w:r>
    </w:p>
    <w:p>
      <w:pPr>
        <w:pStyle w:val="ListParagraph"/>
        <w:numPr>
          <w:ilvl w:val="0"/>
          <w:numId w:val="2"/>
        </w:numPr>
        <w:spacing w:after="80" w:line="290"/>
      </w:pPr>
      <w:r>
        <w:rPr>
          <w:rFonts w:ascii="Calibri" w:cs="Calibri" w:eastAsia="Calibri" w:hAnsi="Calibri"/>
          <w:b/>
          <w:bCs/>
          <w:color w:val="1B1B1B"/>
          <w:sz w:val="22"/>
          <w:szCs w:val="22"/>
        </w:rPr>
        <w:t xml:space="preserve">Storage — smallholder: </w:t>
      </w:r>
      <w:r>
        <w:rPr>
          <w:rFonts w:ascii="Calibri" w:cs="Calibri" w:eastAsia="Calibri" w:hAnsi="Calibri"/>
          <w:color w:val="1B1B1B"/>
          <w:sz w:val="22"/>
          <w:szCs w:val="22"/>
        </w:rPr>
        <w:t xml:space="preserve">Polypropylene bags; emerging PICS bag adoption; sunflower stores well at appropriate moisture levels with relatively low pest pressure.</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Sunflower seed weevil (Smicronyx); sunflower moth (Homoeosoma); some grain-storage pests (granary weevil, lesser grain borer). Hermetic storage and phosphine fumigation are principal controls.</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Expeller pressing (the dominant smallholder-and-medium-commercial channel): </w:t>
      </w:r>
      <w:r>
        <w:rPr>
          <w:rFonts w:ascii="Calibri" w:cs="Calibri" w:eastAsia="Calibri" w:hAnsi="Calibri"/>
          <w:color w:val="1B1B1B"/>
          <w:sz w:val="22"/>
          <w:szCs w:val="22"/>
        </w:rPr>
        <w:t xml:space="preserve">Mechanical screw-press oil extraction; oil yield typically 25–35% of seed weight (lower than solvent extraction but no chemical residue). Equipment manufacturers: Premier Tech; Kumar Industries; regional fabricators. Major medium-scale operators: village and cooperative oil presses across Singida, Dodoma, Manyara, Iringa.</w:t>
      </w:r>
    </w:p>
    <w:p>
      <w:pPr>
        <w:pStyle w:val="ListParagraph"/>
        <w:numPr>
          <w:ilvl w:val="0"/>
          <w:numId w:val="2"/>
        </w:numPr>
        <w:spacing w:after="80" w:line="290"/>
      </w:pPr>
      <w:r>
        <w:rPr>
          <w:rFonts w:ascii="Calibri" w:cs="Calibri" w:eastAsia="Calibri" w:hAnsi="Calibri"/>
          <w:b/>
          <w:bCs/>
          <w:color w:val="1B1B1B"/>
          <w:sz w:val="22"/>
          <w:szCs w:val="22"/>
        </w:rPr>
        <w:t xml:space="preserve">Solvent extraction (the commercial-scale channel): </w:t>
      </w:r>
      <w:r>
        <w:rPr>
          <w:rFonts w:ascii="Calibri" w:cs="Calibri" w:eastAsia="Calibri" w:hAnsi="Calibri"/>
          <w:color w:val="1B1B1B"/>
          <w:sz w:val="22"/>
          <w:szCs w:val="22"/>
        </w:rPr>
        <w:t xml:space="preserve">Hexane-based solvent extraction at commercial mill scale; oil yield 40–45% of seed weight (the higher yield drives commercial economics). Major regional operators: Bidco Africa; Mukwano; Bakhresa Group; Mount Meru Millers (Tanzania); Pwani Oil (Kenya, expanding sunflower division).</w:t>
      </w:r>
    </w:p>
    <w:p>
      <w:pPr>
        <w:pStyle w:val="ListParagraph"/>
        <w:numPr>
          <w:ilvl w:val="0"/>
          <w:numId w:val="2"/>
        </w:numPr>
        <w:spacing w:after="80" w:line="290"/>
      </w:pPr>
      <w:r>
        <w:rPr>
          <w:rFonts w:ascii="Calibri" w:cs="Calibri" w:eastAsia="Calibri" w:hAnsi="Calibri"/>
          <w:b/>
          <w:bCs/>
          <w:color w:val="1B1B1B"/>
          <w:sz w:val="22"/>
          <w:szCs w:val="22"/>
        </w:rPr>
        <w:t xml:space="preserve">Refining (degumming, neutralisation, bleaching, deodorisation): </w:t>
      </w:r>
      <w:r>
        <w:rPr>
          <w:rFonts w:ascii="Calibri" w:cs="Calibri" w:eastAsia="Calibri" w:hAnsi="Calibri"/>
          <w:color w:val="1B1B1B"/>
          <w:sz w:val="22"/>
          <w:szCs w:val="22"/>
        </w:rPr>
        <w:t xml:space="preserve">Crude sunflower oil refining produces retail-grade cooking oil. Major regional retail brands: Bidco (Cowboy, Salit, Salima); Mukwano (Mukwano Cooking Oil); Bakhresa (Sun); Pwani (Salit). Refining is highly concentrated at commercial-mill scale.</w:t>
      </w:r>
    </w:p>
    <w:p>
      <w:pPr>
        <w:pStyle w:val="ListParagraph"/>
        <w:numPr>
          <w:ilvl w:val="0"/>
          <w:numId w:val="2"/>
        </w:numPr>
        <w:spacing w:after="80" w:line="290"/>
      </w:pPr>
      <w:r>
        <w:rPr>
          <w:rFonts w:ascii="Calibri" w:cs="Calibri" w:eastAsia="Calibri" w:hAnsi="Calibri"/>
          <w:b/>
          <w:bCs/>
          <w:color w:val="1B1B1B"/>
          <w:sz w:val="22"/>
          <w:szCs w:val="22"/>
        </w:rPr>
        <w:t xml:space="preserve">Sunflower meal / cake (the by-product): </w:t>
      </w:r>
      <w:r>
        <w:rPr>
          <w:rFonts w:ascii="Calibri" w:cs="Calibri" w:eastAsia="Calibri" w:hAnsi="Calibri"/>
          <w:color w:val="1B1B1B"/>
          <w:sz w:val="22"/>
          <w:szCs w:val="22"/>
        </w:rPr>
        <w:t xml:space="preserve">Defatted sunflower meal (28–35% protein) as poultry-and-livestock-feed input; expeller-pressed cake retains higher residual oil (8–12%) and serves dairy-feed markets. Major buyers: Unga Feeds; Bidco Animal Feeds; Coopers Kenya; regional cooperative feed mills.</w:t>
      </w:r>
    </w:p>
    <w:p>
      <w:pPr>
        <w:pStyle w:val="ListParagraph"/>
        <w:numPr>
          <w:ilvl w:val="0"/>
          <w:numId w:val="2"/>
        </w:numPr>
        <w:spacing w:after="80" w:line="290"/>
      </w:pPr>
      <w:r>
        <w:rPr>
          <w:rFonts w:ascii="Calibri" w:cs="Calibri" w:eastAsia="Calibri" w:hAnsi="Calibri"/>
          <w:b/>
          <w:bCs/>
          <w:color w:val="1B1B1B"/>
          <w:sz w:val="22"/>
          <w:szCs w:val="22"/>
        </w:rPr>
        <w:t xml:space="preserve">Confectionery sunflower (the secondary channel): </w:t>
      </w:r>
      <w:r>
        <w:rPr>
          <w:rFonts w:ascii="Calibri" w:cs="Calibri" w:eastAsia="Calibri" w:hAnsi="Calibri"/>
          <w:color w:val="1B1B1B"/>
          <w:sz w:val="22"/>
          <w:szCs w:val="22"/>
        </w:rPr>
        <w:t xml:space="preserve">Roasted, salted and snack-format confectionery sunflower seed. Limited regional commercial scale relative to oil-type; emerging premium-niche through 2024–2026 retail trajectory.</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Cold-pressed extra-virgin sunflower oil for premium retail; high-oleic specialty oil for premium frying applications; emerging organic-certified single-origin sunflower oil brands.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9% maximum for safe storage; 8% for crushing-grade.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 for crushing-grade.</w:t>
      </w:r>
    </w:p>
    <w:p>
      <w:pPr>
        <w:pStyle w:val="ListParagraph"/>
        <w:numPr>
          <w:ilvl w:val="0"/>
          <w:numId w:val="2"/>
        </w:numPr>
        <w:spacing w:after="80" w:line="290"/>
      </w:pPr>
      <w:r>
        <w:rPr>
          <w:rFonts w:ascii="Calibri" w:cs="Calibri" w:eastAsia="Calibri" w:hAnsi="Calibri"/>
          <w:color w:val="1B1B1B"/>
          <w:sz w:val="22"/>
          <w:szCs w:val="22"/>
        </w:rPr>
        <w:t xml:space="preserve">Damaged kernels: typically maximum 5–7% for crushing-grade.</w:t>
      </w:r>
    </w:p>
    <w:p>
      <w:pPr>
        <w:pStyle w:val="ListParagraph"/>
        <w:numPr>
          <w:ilvl w:val="0"/>
          <w:numId w:val="2"/>
        </w:numPr>
        <w:spacing w:after="80" w:line="290"/>
      </w:pPr>
      <w:r>
        <w:rPr>
          <w:rFonts w:ascii="Calibri" w:cs="Calibri" w:eastAsia="Calibri" w:hAnsi="Calibri"/>
          <w:color w:val="1B1B1B"/>
          <w:sz w:val="22"/>
          <w:szCs w:val="22"/>
        </w:rPr>
        <w:t xml:space="preserve">Oil content: typically minimum 38–40% for premium oil-type crushing-grade.</w:t>
      </w:r>
    </w:p>
    <w:p>
      <w:pPr>
        <w:pStyle w:val="ListParagraph"/>
        <w:numPr>
          <w:ilvl w:val="0"/>
          <w:numId w:val="2"/>
        </w:numPr>
        <w:spacing w:after="80" w:line="290"/>
      </w:pPr>
      <w:r>
        <w:rPr>
          <w:rFonts w:ascii="Calibri" w:cs="Calibri" w:eastAsia="Calibri" w:hAnsi="Calibri"/>
          <w:color w:val="1B1B1B"/>
          <w:sz w:val="22"/>
          <w:szCs w:val="22"/>
        </w:rPr>
        <w:t xml:space="preserve">Free fatty acid (FFA): typically maximum 2% for crude oil; tighter for refined.</w:t>
      </w:r>
    </w:p>
    <w:p>
      <w:pPr>
        <w:pStyle w:val="ListParagraph"/>
        <w:numPr>
          <w:ilvl w:val="0"/>
          <w:numId w:val="2"/>
        </w:numPr>
        <w:spacing w:after="80" w:line="290"/>
      </w:pPr>
      <w:r>
        <w:rPr>
          <w:rFonts w:ascii="Calibri" w:cs="Calibri" w:eastAsia="Calibri" w:hAnsi="Calibri"/>
          <w:color w:val="1B1B1B"/>
          <w:sz w:val="22"/>
          <w:szCs w:val="22"/>
        </w:rPr>
        <w:t xml:space="preserve">Aflatoxin total: typically below 10 ppb for human-consumption-grade oil.</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RSB, BBS standards; ISO 22000 for premium processors.</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Davis &amp; Shirtliff; Beta Engineering; private commercial mill suppliers. Crushing mills: Bidco Africa (the regional flagship); Pwani Oil; Kapa Oil; Capwell Industries. Feed integrators: Unga Feeds; Bidco Animal Feeds.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TEMDO; Tanzania Engineering and Manufacturing Design Organisation; private commercial mill suppliers. Crushing mills: Bakhresa Group; Mount Meru Millers (the Lake Zone leader); Bidco Tanzania; emerging Singida and Dodoma cooperative-scale crushers. AGCOT-cluster operations support sunflower aggregation in Singida, Dodoma, Manyara, and Iringa-Mufindi corridors.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Crushing mills: Mukwano (the regional production-and-crushing leader); BIDCO Uganda; emerging Eastern Region private operators. Feed integrators: Mukwano Animal Feeds; Ugachick.</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Crushing mills: limited current capacity; emerging cooperative operators; AIF-affiliated formulations.</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Equipment: regional imports. Crushing mills: limited; informal cooperative aggregation.</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Sunflower post-harvest infrastructure is the regional consolidated commercial-oilseed model in operation. The contracted-grower-and-crusher framework works; the geographic extension into Tanzania’s Singida-Dodoma heartland is functional; the regional retail brand portfolio (Bidco, Mukwano, Bakhresa, Mount Meru, Pwani) anchors a recognised consumer-facing infrastructure. The remaining work is structural: production expansion to close the regional cooking-oil deficit.</w:t>
      </w:r>
    </w:p>
    <w:p>
      <w:pPr>
        <w:spacing w:after="120" w:line="300"/>
      </w:pPr>
      <w:r>
        <w:rPr>
          <w:rFonts w:ascii="Calibri" w:cs="Calibri" w:eastAsia="Calibri" w:hAnsi="Calibri"/>
          <w:color w:val="1B1B1B"/>
          <w:sz w:val="22"/>
          <w:szCs w:val="22"/>
        </w:rPr>
        <w:t xml:space="preserve">For sunflower producers in contracted-eligible zones, the actionable rule is contract participation with quality-graded protocol adherence — the same operational discipline that defines barley and soybean post-harvest economics covered earlier in this Series. For impact investors and commercial operators, integrated production-and-crushing-and-refining operations remain the structural value-capture path. For governments, sunflower import substitution is the regional cooking-oil-deficit answer with the strongest available domestic-production case.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02</w:t>
            </w:r>
          </w:p>
          <w:p>
            <w:pPr>
              <w:spacing w:after="40"/>
            </w:pPr>
            <w:r>
              <w:rPr>
                <w:rFonts w:ascii="Calibri" w:cs="Calibri" w:eastAsia="Calibri" w:hAnsi="Calibri"/>
                <w:b/>
                <w:bCs/>
                <w:color w:val="FFFFFF"/>
                <w:sz w:val="36"/>
                <w:szCs w:val="36"/>
              </w:rPr>
              <w:t xml:space="preserve">Sesame</w:t>
            </w:r>
          </w:p>
          <w:p>
            <w:r>
              <w:rPr>
                <w:rFonts w:ascii="Calibri" w:cs="Calibri" w:eastAsia="Calibri" w:hAnsi="Calibri"/>
                <w:i/>
                <w:iCs/>
                <w:color w:val="FFFFFF"/>
                <w:sz w:val="20"/>
                <w:szCs w:val="20"/>
              </w:rPr>
              <w:t xml:space="preserve">Sesamum indicum</w:t>
            </w:r>
            <w:r>
              <w:rPr>
                <w:rFonts w:ascii="Calibri" w:cs="Calibri" w:eastAsia="Calibri" w:hAnsi="Calibri"/>
                <w:color w:val="FFFFFF"/>
                <w:sz w:val="20"/>
                <w:szCs w:val="20"/>
              </w:rPr>
              <w:t xml:space="preserve">   •   Ufuta (Sw)  •  The structural East African export oilseed</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including pre-harvest shattering)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6–8% kernel moisture content for export-grade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Polypropylene bags; emerging hermetic adoption; commercial bulk for export</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Coast &amp; Lindi-Mtwara TZ (the regional production-and-export heartland); Eastern UG; minor KE; minor RW &amp;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Sesame is East Africa’s structural export oilseed and the regional crop with the most internationally-disciplined quality framework. Tanzania anchors regional production, with Lindi-Mtwara (Coastal South) carrying the dominant share, supplemented by Coast Region and emerging production in Manyara and Tabora. Annual regional production exceeds 700,000 tonnes with Tanzania accounting for the majority. Export channels run principally to Japan (the most quality-disciplined buyer globally), China, India, the Middle East (Israel and Lebanon for tahini and confectionery), and Europe.</w:t>
      </w:r>
    </w:p>
    <w:p>
      <w:pPr>
        <w:spacing w:after="120" w:line="300"/>
      </w:pPr>
      <w:r>
        <w:rPr>
          <w:rFonts w:ascii="Calibri" w:cs="Calibri" w:eastAsia="Calibri" w:hAnsi="Calibri"/>
          <w:color w:val="1B1B1B"/>
          <w:sz w:val="22"/>
          <w:szCs w:val="22"/>
        </w:rPr>
        <w:t xml:space="preserve">Sesame post-harvest economics are dominated by export-grade specifications. The crop’s small seed size, distinct varietal classes (white, brown, black), and structural quality differentiation by purity-and-oil-content-and-FFA make sesame the regional oilseed where post-harvest discipline directly determines whether smallholder producers capture premium export prices or surrender 30–80% of potential value to mid-stream aggregators and quality-discount.</w:t>
      </w:r>
    </w:p>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79B93E" w:sz="18"/>
              <w:left w:val="none" w:color="FFFFFF" w:sz="0"/>
              <w:bottom w:val="single" w:color="79B93E" w:sz="4"/>
              <w:right w:val="none" w:color="FFFFFF" w:sz="0"/>
            </w:tcBorders>
            <w:shd w:fill="E8F1E2" w:val="clear"/>
            <w:tcMar>
              <w:top w:type="dxa" w:w="200"/>
              <w:left w:type="dxa" w:w="280"/>
              <w:bottom w:type="dxa" w:w="200"/>
              <w:right w:type="dxa" w:w="280"/>
            </w:tcMar>
          </w:tcPr>
          <w:p>
            <w:pPr>
              <w:spacing w:after="100"/>
            </w:pPr>
            <w:r>
              <w:rPr>
                <w:rFonts w:ascii="Calibri" w:cs="Calibri" w:eastAsia="Calibri" w:hAnsi="Calibri"/>
                <w:b/>
                <w:bCs/>
                <w:color w:val="2E7D32"/>
                <w:spacing w:val="40"/>
                <w:sz w:val="18"/>
                <w:szCs w:val="18"/>
              </w:rPr>
              <w:t xml:space="preserve">SESAME QUALITY GRADING: THE JAPANESE-BUYER DISCIPLINE</w:t>
            </w:r>
          </w:p>
          <w:p>
            <w:pPr>
              <w:spacing w:after="100" w:line="290"/>
            </w:pPr>
            <w:r>
              <w:rPr>
                <w:rFonts w:ascii="Calibri" w:cs="Calibri" w:eastAsia="Calibri" w:hAnsi="Calibri"/>
                <w:color w:val="1B1B1B"/>
                <w:sz w:val="21"/>
                <w:szCs w:val="21"/>
              </w:rPr>
              <w:t xml:space="preserve">Japan is the most quality-disciplined sesame buyer globally. Specifications anchor at: 99.95%+ purity (essentially zero foreign matter); 50%+ oil content; free fatty acid (FFA) below 1.5%; aflatoxin total below 5 ppb (B1 below 2 ppb); uniform colour within class (white, brown, or black); freedom from immature, damaged, or discoloured seeds; specific varietal-class purity (typically minimum 98% within stated class). The standards are documented through Japanese Agricultural Standards (JAS) and through individual Japanese trader specifications.</w:t>
            </w:r>
          </w:p>
          <w:p>
            <w:pPr>
              <w:spacing w:after="100" w:line="290"/>
            </w:pPr>
            <w:r>
              <w:rPr>
                <w:rFonts w:ascii="Calibri" w:cs="Calibri" w:eastAsia="Calibri" w:hAnsi="Calibri"/>
                <w:color w:val="1B1B1B"/>
                <w:sz w:val="21"/>
                <w:szCs w:val="21"/>
              </w:rPr>
              <w:t xml:space="preserve">Tanzanian sesame meets Japanese specifications when post-harvest discipline is maintained. The dominant export channel runs through Olam Tanzania, ETG (Export Trading Group), and a network of Asian-trader-affiliated regional companies operating from Dar es Salaam, Lindi and Mtwara. Major Japanese buyers (Mitsui Sugar, Marubeni, Mitsubishi Foods divisions, Kuze Fukumoto) procure through these regional aggregators with structured quality testing at both origin and destination.</w:t>
            </w:r>
          </w:p>
          <w:p>
            <w:pPr>
              <w:spacing w:after="100" w:line="290"/>
            </w:pPr>
            <w:r>
              <w:rPr>
                <w:rFonts w:ascii="Calibri" w:cs="Calibri" w:eastAsia="Calibri" w:hAnsi="Calibri"/>
                <w:color w:val="1B1B1B"/>
                <w:sz w:val="21"/>
                <w:szCs w:val="21"/>
              </w:rPr>
              <w:t xml:space="preserve">The premium-versus-standard differential is structural. Premium-grade Tanzanian sesame meeting Japanese specifications can command US$1,400–2,200 per tonne; standard-grade Indian-buyer-targeted sesame trades at US$900–1,400; mixed-grade informal-trade sesame trades at US$700–1,000. The infrastructure that closes the gap — cooperative-grading capacity, mechanical sorting, laboratory testing, structured aggregation — is the available regional commercial-development opportunity, with AGCOT-cluster operations in Lindi-Mtwara representing one of the strongest available investment-and-extension targets.</w:t>
            </w:r>
          </w:p>
          <w:p>
            <w:pPr>
              <w:spacing w:after="0" w:line="290"/>
            </w:pPr>
            <w:r>
              <w:rPr>
                <w:rFonts w:ascii="Calibri" w:cs="Calibri" w:eastAsia="Calibri" w:hAnsi="Calibri"/>
                <w:color w:val="1B1B1B"/>
                <w:sz w:val="21"/>
                <w:szCs w:val="21"/>
              </w:rPr>
              <w:t xml:space="preserve">The Coast and Lindi-Mtwara production heartland has the agro-ecological fit, the historical production base, and the export-channel access. The discipline-and-infrastructure gap is the binding constraint. Closing it is the regional sesame industry’s strategic priority through the next decade.</w:t>
            </w:r>
          </w:p>
        </w:tc>
      </w:tr>
    </w:tbl>
    <w:p>
      <w:r>
        <w:t xml:space="preserve"/>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(the seed-shattering decision): </w:t>
      </w:r>
      <w:r>
        <w:rPr>
          <w:rFonts w:ascii="Calibri" w:cs="Calibri" w:eastAsia="Calibri" w:hAnsi="Calibri"/>
          <w:color w:val="1B1B1B"/>
          <w:sz w:val="22"/>
          <w:szCs w:val="22"/>
        </w:rPr>
        <w:t xml:space="preserve">Sesame capsules dehisce (split open) at maturity, scattering seeds. Harvest must be timed when capsules are mature but before dehiscence; the harvest window is 7–10 days. Hand-pulling whole plants is the regional standard; mechanical harvesting is limited by shatter losses.</w:t>
      </w:r>
    </w:p>
    <w:p>
      <w:pPr>
        <w:pStyle w:val="ListParagraph"/>
        <w:numPr>
          <w:ilvl w:val="0"/>
          <w:numId w:val="2"/>
        </w:numPr>
        <w:spacing w:after="80" w:line="290"/>
      </w:pPr>
      <w:r>
        <w:rPr>
          <w:rFonts w:ascii="Calibri" w:cs="Calibri" w:eastAsia="Calibri" w:hAnsi="Calibri"/>
          <w:b/>
          <w:bCs/>
          <w:color w:val="1B1B1B"/>
          <w:sz w:val="22"/>
          <w:szCs w:val="22"/>
        </w:rPr>
        <w:t xml:space="preserve">Windrow drying: </w:t>
      </w:r>
      <w:r>
        <w:rPr>
          <w:rFonts w:ascii="Calibri" w:cs="Calibri" w:eastAsia="Calibri" w:hAnsi="Calibri"/>
          <w:color w:val="1B1B1B"/>
          <w:sz w:val="22"/>
          <w:szCs w:val="22"/>
        </w:rPr>
        <w:t xml:space="preserve">Hand-pulled whole plants are bundled and stacked into windrows or upright shocks for 7–14 days of capsule-drying; this critical step allows capsules to dehisce naturally so seeds release into collection sheets or tarps below.</w:t>
      </w:r>
    </w:p>
    <w:p>
      <w:pPr>
        <w:pStyle w:val="ListParagraph"/>
        <w:numPr>
          <w:ilvl w:val="0"/>
          <w:numId w:val="2"/>
        </w:numPr>
        <w:spacing w:after="80" w:line="290"/>
      </w:pPr>
      <w:r>
        <w:rPr>
          <w:rFonts w:ascii="Calibri" w:cs="Calibri" w:eastAsia="Calibri" w:hAnsi="Calibri"/>
          <w:b/>
          <w:bCs/>
          <w:color w:val="1B1B1B"/>
          <w:sz w:val="22"/>
          <w:szCs w:val="22"/>
        </w:rPr>
        <w:t xml:space="preserve">Threshing (the seed-recovery step): </w:t>
      </w:r>
      <w:r>
        <w:rPr>
          <w:rFonts w:ascii="Calibri" w:cs="Calibri" w:eastAsia="Calibri" w:hAnsi="Calibri"/>
          <w:color w:val="1B1B1B"/>
          <w:sz w:val="22"/>
          <w:szCs w:val="22"/>
        </w:rPr>
        <w:t xml:space="preserve">Capsule-laden plants beaten over tarps to release seeds; multiple beatings over the windrow-drying period to capture sequentially dehiscing capsules. Mechanical threshers are emerging at cooperative scale but hand-threshing remains the regional standard.</w:t>
      </w:r>
    </w:p>
    <w:p>
      <w:pPr>
        <w:pStyle w:val="ListParagraph"/>
        <w:numPr>
          <w:ilvl w:val="0"/>
          <w:numId w:val="2"/>
        </w:numPr>
        <w:spacing w:after="80" w:line="290"/>
      </w:pPr>
      <w:r>
        <w:rPr>
          <w:rFonts w:ascii="Calibri" w:cs="Calibri" w:eastAsia="Calibri" w:hAnsi="Calibri"/>
          <w:b/>
          <w:bCs/>
          <w:color w:val="1B1B1B"/>
          <w:sz w:val="22"/>
          <w:szCs w:val="22"/>
        </w:rPr>
        <w:t xml:space="preserve">Cleaning (the foundational quality step): </w:t>
      </w:r>
      <w:r>
        <w:rPr>
          <w:rFonts w:ascii="Calibri" w:cs="Calibri" w:eastAsia="Calibri" w:hAnsi="Calibri"/>
          <w:color w:val="1B1B1B"/>
          <w:sz w:val="22"/>
          <w:szCs w:val="22"/>
        </w:rPr>
        <w:t xml:space="preserve">Air-blowing and sieve cleaning to remove foreign matter (capsule fragments, leaves, soil, immature seeds). Premium export-grade requires 99.95%+ purity, which depends on cooperative-or-commercial mechanical cleaning capacity.</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to 6–8% moisture for export-grade storage; sesame is hygroscopic and re-absorbs moisture readily under humid coastal conditions, so storage discipline matters.</w:t>
      </w:r>
    </w:p>
    <w:p>
      <w:pPr>
        <w:pStyle w:val="ListParagraph"/>
        <w:numPr>
          <w:ilvl w:val="0"/>
          <w:numId w:val="2"/>
        </w:numPr>
        <w:spacing w:after="80" w:line="290"/>
      </w:pPr>
      <w:r>
        <w:rPr>
          <w:rFonts w:ascii="Calibri" w:cs="Calibri" w:eastAsia="Calibri" w:hAnsi="Calibri"/>
          <w:b/>
          <w:bCs/>
          <w:color w:val="1B1B1B"/>
          <w:sz w:val="22"/>
          <w:szCs w:val="22"/>
        </w:rPr>
        <w:t xml:space="preserve">Sorting and grading (the export-grade step): </w:t>
      </w:r>
      <w:r>
        <w:rPr>
          <w:rFonts w:ascii="Calibri" w:cs="Calibri" w:eastAsia="Calibri" w:hAnsi="Calibri"/>
          <w:color w:val="1B1B1B"/>
          <w:sz w:val="22"/>
          <w:szCs w:val="22"/>
        </w:rPr>
        <w:t xml:space="preserve">Mechanical colour-sorters, optical sorters, and gravity tables at commercial export-aggregation scale; hand-sorting at smallholder scale (limited effectiveness for premium export-grade).</w:t>
      </w:r>
    </w:p>
    <w:p>
      <w:pPr>
        <w:pStyle w:val="ListParagraph"/>
        <w:numPr>
          <w:ilvl w:val="0"/>
          <w:numId w:val="2"/>
        </w:numPr>
        <w:spacing w:after="80" w:line="290"/>
      </w:pPr>
      <w:r>
        <w:rPr>
          <w:rFonts w:ascii="Calibri" w:cs="Calibri" w:eastAsia="Calibri" w:hAnsi="Calibri"/>
          <w:b/>
          <w:bCs/>
          <w:color w:val="1B1B1B"/>
          <w:sz w:val="22"/>
          <w:szCs w:val="22"/>
        </w:rPr>
        <w:t xml:space="preserve">Storage: </w:t>
      </w:r>
      <w:r>
        <w:rPr>
          <w:rFonts w:ascii="Calibri" w:cs="Calibri" w:eastAsia="Calibri" w:hAnsi="Calibri"/>
          <w:color w:val="1B1B1B"/>
          <w:sz w:val="22"/>
          <w:szCs w:val="22"/>
        </w:rPr>
        <w:t xml:space="preserve">Polypropylene bags at smallholder scale; commercial bulk warehousing with phosphine fumigation at export-aggregation scale; emerging hermetic adoption for premium consignment management.</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Bruchid pressure and grain moths under poor storage conditions; hermetic storage and phosphine fumigation are principal controls; export-grade requires methyl-bromide or phosphine pre-shipment fumigation.</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Sorting, grading and bagging for export (the dominant commercial channel): </w:t>
      </w:r>
      <w:r>
        <w:rPr>
          <w:rFonts w:ascii="Calibri" w:cs="Calibri" w:eastAsia="Calibri" w:hAnsi="Calibri"/>
          <w:color w:val="1B1B1B"/>
          <w:sz w:val="22"/>
          <w:szCs w:val="22"/>
        </w:rPr>
        <w:t xml:space="preserve">The vast majority of regional sesame production moves as graded whole-seed export. Major aggregators: Olam Tanzania (the regional anchor); Export Trading Group (ETG); ETC Group; Asian-trader-affiliated regional companies; AGCOT-cluster operators in Lindi-Mtwara.</w:t>
      </w:r>
    </w:p>
    <w:p>
      <w:pPr>
        <w:pStyle w:val="ListParagraph"/>
        <w:numPr>
          <w:ilvl w:val="0"/>
          <w:numId w:val="2"/>
        </w:numPr>
        <w:spacing w:after="80" w:line="290"/>
      </w:pPr>
      <w:r>
        <w:rPr>
          <w:rFonts w:ascii="Calibri" w:cs="Calibri" w:eastAsia="Calibri" w:hAnsi="Calibri"/>
          <w:b/>
          <w:bCs/>
          <w:color w:val="1B1B1B"/>
          <w:sz w:val="22"/>
          <w:szCs w:val="22"/>
        </w:rPr>
        <w:t xml:space="preserve">Domestic oil pressing: </w:t>
      </w:r>
      <w:r>
        <w:rPr>
          <w:rFonts w:ascii="Calibri" w:cs="Calibri" w:eastAsia="Calibri" w:hAnsi="Calibri"/>
          <w:color w:val="1B1B1B"/>
          <w:sz w:val="22"/>
          <w:szCs w:val="22"/>
        </w:rPr>
        <w:t xml:space="preserve">Limited regional commercial-scale sesame oil pressing; some artisan and cold-pressed operations producing premium-niche retail product. Sesame oil yield typically 40–50% of seed weight.</w:t>
      </w:r>
    </w:p>
    <w:p>
      <w:pPr>
        <w:pStyle w:val="ListParagraph"/>
        <w:numPr>
          <w:ilvl w:val="0"/>
          <w:numId w:val="2"/>
        </w:numPr>
        <w:spacing w:after="80" w:line="290"/>
      </w:pPr>
      <w:r>
        <w:rPr>
          <w:rFonts w:ascii="Calibri" w:cs="Calibri" w:eastAsia="Calibri" w:hAnsi="Calibri"/>
          <w:b/>
          <w:bCs/>
          <w:color w:val="1B1B1B"/>
          <w:sz w:val="22"/>
          <w:szCs w:val="22"/>
        </w:rPr>
        <w:t xml:space="preserve">Tahini and sesame paste manufacturing: </w:t>
      </w:r>
      <w:r>
        <w:rPr>
          <w:rFonts w:ascii="Calibri" w:cs="Calibri" w:eastAsia="Calibri" w:hAnsi="Calibri"/>
          <w:color w:val="1B1B1B"/>
          <w:sz w:val="22"/>
          <w:szCs w:val="22"/>
        </w:rPr>
        <w:t xml:space="preserve">Limited regional commercial scale; principally serving regional South Asian and Middle Eastern community markets. Emerging premium-niche operators producing tahini for regional supermarket retail.</w:t>
      </w:r>
    </w:p>
    <w:p>
      <w:pPr>
        <w:pStyle w:val="ListParagraph"/>
        <w:numPr>
          <w:ilvl w:val="0"/>
          <w:numId w:val="2"/>
        </w:numPr>
        <w:spacing w:after="80" w:line="290"/>
      </w:pPr>
      <w:r>
        <w:rPr>
          <w:rFonts w:ascii="Calibri" w:cs="Calibri" w:eastAsia="Calibri" w:hAnsi="Calibri"/>
          <w:b/>
          <w:bCs/>
          <w:color w:val="1B1B1B"/>
          <w:sz w:val="22"/>
          <w:szCs w:val="22"/>
        </w:rPr>
        <w:t xml:space="preserve">Confectionery and bakery applications: </w:t>
      </w:r>
      <w:r>
        <w:rPr>
          <w:rFonts w:ascii="Calibri" w:cs="Calibri" w:eastAsia="Calibri" w:hAnsi="Calibri"/>
          <w:color w:val="1B1B1B"/>
          <w:sz w:val="22"/>
          <w:szCs w:val="22"/>
        </w:rPr>
        <w:t xml:space="preserve">Hulled sesame seed (decorticated) for bakery and confectionery; significant regional commercial demand through urban retail channels.</w:t>
      </w:r>
    </w:p>
    <w:p>
      <w:pPr>
        <w:pStyle w:val="ListParagraph"/>
        <w:numPr>
          <w:ilvl w:val="0"/>
          <w:numId w:val="2"/>
        </w:numPr>
        <w:spacing w:after="80" w:line="290"/>
      </w:pPr>
      <w:r>
        <w:rPr>
          <w:rFonts w:ascii="Calibri" w:cs="Calibri" w:eastAsia="Calibri" w:hAnsi="Calibri"/>
          <w:b/>
          <w:bCs/>
          <w:color w:val="1B1B1B"/>
          <w:sz w:val="22"/>
          <w:szCs w:val="22"/>
        </w:rPr>
        <w:t xml:space="preserve">Sesame meal (the by-product): </w:t>
      </w:r>
      <w:r>
        <w:rPr>
          <w:rFonts w:ascii="Calibri" w:cs="Calibri" w:eastAsia="Calibri" w:hAnsi="Calibri"/>
          <w:color w:val="1B1B1B"/>
          <w:sz w:val="22"/>
          <w:szCs w:val="22"/>
        </w:rPr>
        <w:t xml:space="preserve">Defatted sesame meal (45–50% protein) as livestock-feed input; significant value but limited current regional commercial-scale processing.</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Hulled white sesame for premium bakery export; black sesame for premium Asian and African specialty retail; cold-pressed sesame oil for premium culinary retail.</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8% maximum for export-grade storage; 6–7% for premium Japanese-buyer-grade.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0.05% for premium export-grade (Japanese specifications); 0.5–1% for standard export-grade.</w:t>
      </w:r>
    </w:p>
    <w:p>
      <w:pPr>
        <w:pStyle w:val="ListParagraph"/>
        <w:numPr>
          <w:ilvl w:val="0"/>
          <w:numId w:val="2"/>
        </w:numPr>
        <w:spacing w:after="80" w:line="290"/>
      </w:pPr>
      <w:r>
        <w:rPr>
          <w:rFonts w:ascii="Calibri" w:cs="Calibri" w:eastAsia="Calibri" w:hAnsi="Calibri"/>
          <w:color w:val="1B1B1B"/>
          <w:sz w:val="22"/>
          <w:szCs w:val="22"/>
        </w:rPr>
        <w:t xml:space="preserve">Purity within stated class: typically minimum 98% for premium-grade; 95% for standard.</w:t>
      </w:r>
    </w:p>
    <w:p>
      <w:pPr>
        <w:pStyle w:val="ListParagraph"/>
        <w:numPr>
          <w:ilvl w:val="0"/>
          <w:numId w:val="2"/>
        </w:numPr>
        <w:spacing w:after="80" w:line="290"/>
      </w:pPr>
      <w:r>
        <w:rPr>
          <w:rFonts w:ascii="Calibri" w:cs="Calibri" w:eastAsia="Calibri" w:hAnsi="Calibri"/>
          <w:color w:val="1B1B1B"/>
          <w:sz w:val="22"/>
          <w:szCs w:val="22"/>
        </w:rPr>
        <w:t xml:space="preserve">Oil content: typically minimum 50% for premium crushing-and-export grade.</w:t>
      </w:r>
    </w:p>
    <w:p>
      <w:pPr>
        <w:pStyle w:val="ListParagraph"/>
        <w:numPr>
          <w:ilvl w:val="0"/>
          <w:numId w:val="2"/>
        </w:numPr>
        <w:spacing w:after="80" w:line="290"/>
      </w:pPr>
      <w:r>
        <w:rPr>
          <w:rFonts w:ascii="Calibri" w:cs="Calibri" w:eastAsia="Calibri" w:hAnsi="Calibri"/>
          <w:color w:val="1B1B1B"/>
          <w:sz w:val="22"/>
          <w:szCs w:val="22"/>
        </w:rPr>
        <w:t xml:space="preserve">Free fatty acid (FFA): typically maximum 1.5% for premium grade.</w:t>
      </w:r>
    </w:p>
    <w:p>
      <w:pPr>
        <w:pStyle w:val="ListParagraph"/>
        <w:numPr>
          <w:ilvl w:val="0"/>
          <w:numId w:val="2"/>
        </w:numPr>
        <w:spacing w:after="80" w:line="290"/>
      </w:pPr>
      <w:r>
        <w:rPr>
          <w:rFonts w:ascii="Calibri" w:cs="Calibri" w:eastAsia="Calibri" w:hAnsi="Calibri"/>
          <w:color w:val="1B1B1B"/>
          <w:sz w:val="22"/>
          <w:szCs w:val="22"/>
        </w:rPr>
        <w:t xml:space="preserve">Aflatoxin total: typically below 5 ppb for premium export-grade (Japanese-buyer-aligned); below 10 ppb for standard.</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standards; export-grade requires phytosanitary certification, origin documentation, and buyer-specific quality test reports.</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Mtwapa-linked networks (Coastal Kenya). Aggregators: limited; emerging Coastal Kenya cooperative networks; Smart Logistics Solutions.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 Naliendele (the regional sesame research centre at Mtwara); private commercial mill suppliers; TEMDO. Aggregators: Olam Tanzania (the regional anchor for sesame export); Export Trading Group (ETG); Bakhresa Group (export division); AGCOT-cluster operators in Lindi-Mtwara, plus Coast and Manyara emerging production zones; Asian-trader-affiliated regional companies; Tanzania Sesame Producers Association coordination.</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NaSARRI Serere-linked networks. Aggregators: Olam Uganda; ETG Uganda; emerging Eastern Region cooperative networks.</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commercial sesame supply at scale.</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commercial sesame supply at scale.</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Sesame post-harvest infrastructure is the regional flagship export-oilseed story — Tanzania-anchored production, structurally functional Japanese-and-Asian-buyer-driven export commercial channel, AGCOT-cluster commercial coordination in Lindi-Mtwara, demonstrably premium-grade-capable production at smallholder scale.</w:t>
      </w:r>
    </w:p>
    <w:p>
      <w:pPr>
        <w:spacing w:after="120" w:line="300"/>
      </w:pPr>
      <w:r>
        <w:rPr>
          <w:rFonts w:ascii="Calibri" w:cs="Calibri" w:eastAsia="Calibri" w:hAnsi="Calibri"/>
          <w:color w:val="1B1B1B"/>
          <w:sz w:val="22"/>
          <w:szCs w:val="22"/>
        </w:rPr>
        <w:t xml:space="preserve">For Tanzanian sesame producers in Lindi-Mtwara, Coast, Manyara, and Tabora, the actionable rule is participation in Olam-or-ETG-affiliated export aggregator networks with full quality-graded protocol adherence; the premium-versus-standard differential warrants the discipline. For impact investors and commercial operators, the regional cooperative-grading-and-cleaning infrastructure remains structurally under-developed relative to the export-grade premium opportunity — representing one of the clearest available regional commercial-development priorities.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03</w:t>
            </w:r>
          </w:p>
          <w:p>
            <w:pPr>
              <w:spacing w:after="40"/>
            </w:pPr>
            <w:r>
              <w:rPr>
                <w:rFonts w:ascii="Calibri" w:cs="Calibri" w:eastAsia="Calibri" w:hAnsi="Calibri"/>
                <w:b/>
                <w:bCs/>
                <w:color w:val="FFFFFF"/>
                <w:sz w:val="36"/>
                <w:szCs w:val="36"/>
              </w:rPr>
              <w:t xml:space="preserve">Canola (Rapeseed)</w:t>
            </w:r>
          </w:p>
          <w:p>
            <w:r>
              <w:rPr>
                <w:rFonts w:ascii="Calibri" w:cs="Calibri" w:eastAsia="Calibri" w:hAnsi="Calibri"/>
                <w:i/>
                <w:iCs/>
                <w:color w:val="FFFFFF"/>
                <w:sz w:val="20"/>
                <w:szCs w:val="20"/>
              </w:rPr>
              <w:t xml:space="preserve">Brassica napus (canola-quality cultivars)</w:t>
            </w:r>
            <w:r>
              <w:rPr>
                <w:rFonts w:ascii="Calibri" w:cs="Calibri" w:eastAsia="Calibri" w:hAnsi="Calibri"/>
                <w:color w:val="FFFFFF"/>
                <w:sz w:val="20"/>
                <w:szCs w:val="20"/>
              </w:rPr>
              <w:t xml:space="preserve">   •   Canola (Eng.)  •  The emerging highland cooking-oil crop</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(pilot-stage smallholder)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8–9% kernel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Bulk silos (commercial); polypropylene bags (smallholder)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Mau Narok, Timau, Mt Kenya highlands KE (emerging); minor TZ pilot; pilot UG, RW,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Canola is East Africa’s emerging highland oilseed with structural premium-cooking-oil trajectory. The crop — a low-erucic-acid, low-glucosinolate quality variant of rapeseed (Brassica napus) developed in Canada in the 1970s and now globally cultivated — produces high-oil-content seed (40–45%) suitable for cooking, food processing, and emerging biofuel applications. Regional pilot production through Bidco-affiliated programmes in Kenyan highland zones (Mau Narok, Timau, Mt Kenya area) has expanded steadily through 2020s; Tanzania, Uganda, Rwanda and Burundi production is at pilot stage.</w:t>
      </w:r>
    </w:p>
    <w:p>
      <w:pPr>
        <w:spacing w:after="120" w:line="300"/>
      </w:pPr>
      <w:r>
        <w:rPr>
          <w:rFonts w:ascii="Calibri" w:cs="Calibri" w:eastAsia="Calibri" w:hAnsi="Calibri"/>
          <w:color w:val="1B1B1B"/>
          <w:sz w:val="22"/>
          <w:szCs w:val="22"/>
        </w:rPr>
        <w:t xml:space="preserve">Canola post-harvest economics will track regional production scale-up over the coming decade. The crop’s structural fit for highland cool-season cultivation (where sunflower is sub-optimal and where wheat-and-barley rotation slots can accommodate canola integration), the rising regional premium-cooking-oil retail demand, and the established commercial crushing-and-refining infrastructure (Bidco, Mukwano, Bakhresa, Mount Meru) all together make this a watching-brief category with rising commercial trajectory.</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full pod maturity when 70–80% of pods turn yellow-brown; canola pods can shatter if harvest is delayed beyond full maturity. Combine harvesting with shatter-resistance modifications is the commercial standard; hand-harvesting at pilot smallholder scale.</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Mechanical drying or sun-drying to 8–9% moisture for safe storage; tighter moisture target than sunflower due to higher oil content.</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Combine threshing at commercial scale; mechanical or hand threshing on tarps at smallholder pilot scale. Small seed size requires fine-mesh sieves to avoid loss.</w:t>
      </w:r>
    </w:p>
    <w:p>
      <w:pPr>
        <w:pStyle w:val="ListParagraph"/>
        <w:numPr>
          <w:ilvl w:val="0"/>
          <w:numId w:val="2"/>
        </w:numPr>
        <w:spacing w:after="80" w:line="290"/>
      </w:pPr>
      <w:r>
        <w:rPr>
          <w:rFonts w:ascii="Calibri" w:cs="Calibri" w:eastAsia="Calibri" w:hAnsi="Calibri"/>
          <w:b/>
          <w:bCs/>
          <w:color w:val="1B1B1B"/>
          <w:sz w:val="22"/>
          <w:szCs w:val="22"/>
        </w:rPr>
        <w:t xml:space="preserve">Cleaning: </w:t>
      </w:r>
      <w:r>
        <w:rPr>
          <w:rFonts w:ascii="Calibri" w:cs="Calibri" w:eastAsia="Calibri" w:hAnsi="Calibri"/>
          <w:color w:val="1B1B1B"/>
          <w:sz w:val="22"/>
          <w:szCs w:val="22"/>
        </w:rPr>
        <w:t xml:space="preserve">Air-screen cleaners at commercial scale; small-mesh sieves for foreign matter removal. The small seed size makes cleaning operationally challenging.</w:t>
      </w:r>
    </w:p>
    <w:p>
      <w:pPr>
        <w:pStyle w:val="ListParagraph"/>
        <w:numPr>
          <w:ilvl w:val="0"/>
          <w:numId w:val="2"/>
        </w:numPr>
        <w:spacing w:after="80" w:line="290"/>
      </w:pPr>
      <w:r>
        <w:rPr>
          <w:rFonts w:ascii="Calibri" w:cs="Calibri" w:eastAsia="Calibri" w:hAnsi="Calibri"/>
          <w:b/>
          <w:bCs/>
          <w:color w:val="1B1B1B"/>
          <w:sz w:val="22"/>
          <w:szCs w:val="22"/>
        </w:rPr>
        <w:t xml:space="preserve">Storage: </w:t>
      </w:r>
      <w:r>
        <w:rPr>
          <w:rFonts w:ascii="Calibri" w:cs="Calibri" w:eastAsia="Calibri" w:hAnsi="Calibri"/>
          <w:color w:val="1B1B1B"/>
          <w:sz w:val="22"/>
          <w:szCs w:val="22"/>
        </w:rPr>
        <w:t xml:space="preserve">Bulk silos at commercial scale with integrated moisture monitoring; polypropylene bags at smallholder scale; canola is highly susceptible to oil-quality degradation under poor storage conditions.</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Standard oilseed storage pest pressure; phosphine fumigation at commercial scale; hermetic storage emerging at smallholder scale.</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Solvent extraction (the commercial standard): </w:t>
      </w:r>
      <w:r>
        <w:rPr>
          <w:rFonts w:ascii="Calibri" w:cs="Calibri" w:eastAsia="Calibri" w:hAnsi="Calibri"/>
          <w:color w:val="1B1B1B"/>
          <w:sz w:val="22"/>
          <w:szCs w:val="22"/>
        </w:rPr>
        <w:t xml:space="preserve">Hexane-based solvent extraction at commercial mill scale; oil yield 40–45% of seed weight. Major regional operators: Bidco Africa (the regional pilot-and-commercial leader for canola crushing); emerging Mukwano-and-Bakhresa interest.</w:t>
      </w:r>
    </w:p>
    <w:p>
      <w:pPr>
        <w:pStyle w:val="ListParagraph"/>
        <w:numPr>
          <w:ilvl w:val="0"/>
          <w:numId w:val="2"/>
        </w:numPr>
        <w:spacing w:after="80" w:line="290"/>
      </w:pPr>
      <w:r>
        <w:rPr>
          <w:rFonts w:ascii="Calibri" w:cs="Calibri" w:eastAsia="Calibri" w:hAnsi="Calibri"/>
          <w:b/>
          <w:bCs/>
          <w:color w:val="1B1B1B"/>
          <w:sz w:val="22"/>
          <w:szCs w:val="22"/>
        </w:rPr>
        <w:t xml:space="preserve">Expeller pressing (smaller-scale): </w:t>
      </w:r>
      <w:r>
        <w:rPr>
          <w:rFonts w:ascii="Calibri" w:cs="Calibri" w:eastAsia="Calibri" w:hAnsi="Calibri"/>
          <w:color w:val="1B1B1B"/>
          <w:sz w:val="22"/>
          <w:szCs w:val="22"/>
        </w:rPr>
        <w:t xml:space="preserve">Mechanical expeller pressing for premium cold-pressed retail; oil yield 30–40%; significant residual oil in cake remains valuable for feed.</w:t>
      </w:r>
    </w:p>
    <w:p>
      <w:pPr>
        <w:pStyle w:val="ListParagraph"/>
        <w:numPr>
          <w:ilvl w:val="0"/>
          <w:numId w:val="2"/>
        </w:numPr>
        <w:spacing w:after="80" w:line="290"/>
      </w:pPr>
      <w:r>
        <w:rPr>
          <w:rFonts w:ascii="Calibri" w:cs="Calibri" w:eastAsia="Calibri" w:hAnsi="Calibri"/>
          <w:b/>
          <w:bCs/>
          <w:color w:val="1B1B1B"/>
          <w:sz w:val="22"/>
          <w:szCs w:val="22"/>
        </w:rPr>
        <w:t xml:space="preserve">Refining and retail brand integration: </w:t>
      </w:r>
      <w:r>
        <w:rPr>
          <w:rFonts w:ascii="Calibri" w:cs="Calibri" w:eastAsia="Calibri" w:hAnsi="Calibri"/>
          <w:color w:val="1B1B1B"/>
          <w:sz w:val="22"/>
          <w:szCs w:val="22"/>
        </w:rPr>
        <w:t xml:space="preserve">Canola oil refining produces premium-grade cooking oil with health-marketing positioning (low saturated fat); emerging premium retail brand integration.</w:t>
      </w:r>
    </w:p>
    <w:p>
      <w:pPr>
        <w:pStyle w:val="ListParagraph"/>
        <w:numPr>
          <w:ilvl w:val="0"/>
          <w:numId w:val="2"/>
        </w:numPr>
        <w:spacing w:after="80" w:line="290"/>
      </w:pPr>
      <w:r>
        <w:rPr>
          <w:rFonts w:ascii="Calibri" w:cs="Calibri" w:eastAsia="Calibri" w:hAnsi="Calibri"/>
          <w:b/>
          <w:bCs/>
          <w:color w:val="1B1B1B"/>
          <w:sz w:val="22"/>
          <w:szCs w:val="22"/>
        </w:rPr>
        <w:t xml:space="preserve">Canola meal (the by-product): </w:t>
      </w:r>
      <w:r>
        <w:rPr>
          <w:rFonts w:ascii="Calibri" w:cs="Calibri" w:eastAsia="Calibri" w:hAnsi="Calibri"/>
          <w:color w:val="1B1B1B"/>
          <w:sz w:val="22"/>
          <w:szCs w:val="22"/>
        </w:rPr>
        <w:t xml:space="preserve">Defatted canola meal (35–40% protein) as livestock-and-poultry-feed input; second-tier protein meal regionally relative to soybean meal.</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Cold-pressed extra-virgin canola oil for premium retail; emerging organic-certified pilot programmes.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9% maximum for safe storage; 8% for crushing-grade.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1–1.5% for crushing-grade.</w:t>
      </w:r>
    </w:p>
    <w:p>
      <w:pPr>
        <w:pStyle w:val="ListParagraph"/>
        <w:numPr>
          <w:ilvl w:val="0"/>
          <w:numId w:val="2"/>
        </w:numPr>
        <w:spacing w:after="80" w:line="290"/>
      </w:pPr>
      <w:r>
        <w:rPr>
          <w:rFonts w:ascii="Calibri" w:cs="Calibri" w:eastAsia="Calibri" w:hAnsi="Calibri"/>
          <w:color w:val="1B1B1B"/>
          <w:sz w:val="22"/>
          <w:szCs w:val="22"/>
        </w:rPr>
        <w:t xml:space="preserve">Damaged kernels: typically maximum 5–7% for crushing-grade.</w:t>
      </w:r>
    </w:p>
    <w:p>
      <w:pPr>
        <w:pStyle w:val="ListParagraph"/>
        <w:numPr>
          <w:ilvl w:val="0"/>
          <w:numId w:val="2"/>
        </w:numPr>
        <w:spacing w:after="80" w:line="290"/>
      </w:pPr>
      <w:r>
        <w:rPr>
          <w:rFonts w:ascii="Calibri" w:cs="Calibri" w:eastAsia="Calibri" w:hAnsi="Calibri"/>
          <w:color w:val="1B1B1B"/>
          <w:sz w:val="22"/>
          <w:szCs w:val="22"/>
        </w:rPr>
        <w:t xml:space="preserve">Oil content: typically minimum 40% for premium crushing-grade.</w:t>
      </w:r>
    </w:p>
    <w:p>
      <w:pPr>
        <w:pStyle w:val="ListParagraph"/>
        <w:numPr>
          <w:ilvl w:val="0"/>
          <w:numId w:val="2"/>
        </w:numPr>
        <w:spacing w:after="80" w:line="290"/>
      </w:pPr>
      <w:r>
        <w:rPr>
          <w:rFonts w:ascii="Calibri" w:cs="Calibri" w:eastAsia="Calibri" w:hAnsi="Calibri"/>
          <w:color w:val="1B1B1B"/>
          <w:sz w:val="22"/>
          <w:szCs w:val="22"/>
        </w:rPr>
        <w:t xml:space="preserve">Erucic acid: typically below 2% (canola-quality specification).</w:t>
      </w:r>
    </w:p>
    <w:p>
      <w:pPr>
        <w:pStyle w:val="ListParagraph"/>
        <w:numPr>
          <w:ilvl w:val="0"/>
          <w:numId w:val="2"/>
        </w:numPr>
        <w:spacing w:after="80" w:line="290"/>
      </w:pPr>
      <w:r>
        <w:rPr>
          <w:rFonts w:ascii="Calibri" w:cs="Calibri" w:eastAsia="Calibri" w:hAnsi="Calibri"/>
          <w:color w:val="1B1B1B"/>
          <w:sz w:val="22"/>
          <w:szCs w:val="22"/>
        </w:rPr>
        <w:t xml:space="preserve">Glucosinolates: typically below 30 µmol/g (canola-quality specification).</w:t>
      </w:r>
    </w:p>
    <w:p>
      <w:pPr>
        <w:pStyle w:val="ListParagraph"/>
        <w:numPr>
          <w:ilvl w:val="0"/>
          <w:numId w:val="2"/>
        </w:numPr>
        <w:spacing w:after="80" w:line="290"/>
      </w:pPr>
      <w:r>
        <w:rPr>
          <w:rFonts w:ascii="Calibri" w:cs="Calibri" w:eastAsia="Calibri" w:hAnsi="Calibri"/>
          <w:color w:val="1B1B1B"/>
          <w:sz w:val="22"/>
          <w:szCs w:val="22"/>
        </w:rPr>
        <w:t xml:space="preserve">Certification: KEBS, TBS standards apply; canola-quality varietal certification.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Bidco-affiliated canola pilot programme equipment; KALRO-linked networks. Crushing mills: Bidco Africa (the regional pilot-and-commercial canola leader); emerging Mt Kenya pilot operators.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emerging commercial pilot suppliers. Crushing mills: limited; pilot stage.</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Crushing mills: pilot stage.</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Equipment: regional imports. Pilot stage only.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Pilot stage only.</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Canola post-harvest is the regional emerging-highland-oilseed watching-brief category — limited current production scale, structural premium-cooking-oil trajectory, established commercial crushing infrastructure available to absorb production scale-up, clear available agro-ecological fit for highland cool-season rotation slots.</w:t>
      </w:r>
    </w:p>
    <w:p>
      <w:pPr>
        <w:spacing w:after="120" w:line="300"/>
      </w:pPr>
      <w:r>
        <w:rPr>
          <w:rFonts w:ascii="Calibri" w:cs="Calibri" w:eastAsia="Calibri" w:hAnsi="Calibri"/>
          <w:color w:val="1B1B1B"/>
          <w:sz w:val="22"/>
          <w:szCs w:val="22"/>
        </w:rPr>
        <w:t xml:space="preserve">For pilot-stage canola producers in Kenyan highland zones, the actionable rule is contract participation with Bidco-affiliated programmes; commercial scale-up depends on coordinated production-and-processing investment momentum that has begun to materialise but remains modest relative to potential. For impact investors, canola represents one of the clearest available emerging premium-cooking-oil opportunities in regional highland zones.</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04</w:t>
            </w:r>
          </w:p>
          <w:p>
            <w:pPr>
              <w:spacing w:after="40"/>
            </w:pPr>
            <w:r>
              <w:rPr>
                <w:rFonts w:ascii="Calibri" w:cs="Calibri" w:eastAsia="Calibri" w:hAnsi="Calibri"/>
                <w:b/>
                <w:bCs/>
                <w:color w:val="FFFFFF"/>
                <w:sz w:val="36"/>
                <w:szCs w:val="36"/>
              </w:rPr>
              <w:t xml:space="preserve">Cottonseed</w:t>
            </w:r>
          </w:p>
          <w:p>
            <w:r>
              <w:rPr>
                <w:rFonts w:ascii="Calibri" w:cs="Calibri" w:eastAsia="Calibri" w:hAnsi="Calibri"/>
                <w:i/>
                <w:iCs/>
                <w:color w:val="FFFFFF"/>
                <w:sz w:val="20"/>
                <w:szCs w:val="20"/>
              </w:rPr>
              <w:t xml:space="preserve">Gossypium hirsutum (post-ginning by-product)</w:t>
            </w:r>
            <w:r>
              <w:rPr>
                <w:rFonts w:ascii="Calibri" w:cs="Calibri" w:eastAsia="Calibri" w:hAnsi="Calibri"/>
                <w:color w:val="FFFFFF"/>
                <w:sz w:val="20"/>
                <w:szCs w:val="20"/>
              </w:rPr>
              <w:t xml:space="preserve">   •   Mbegu za pamba (Sw)  •  The ginning-by-product oilseed</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5–15% post-harvest loss (commercial ginning); negligible at smallholder scale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10–12% moisture content; ginning operations include drying as standard</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Commercial bulk warehousing at ginning operations; some hermetic emerging</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Lake Zone TZ (the regional ginning-and-cottonseed leader); Western &amp; Eastern UG; Mwea &amp; Lake Victoria KE; minor RW; minor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Cottonseed occupies a distinctive regional oilseed position: not a primary crop, but the structural by-product of cotton ginning operations. Cotton lint (covered as primary crop in Series 2 Issue 13 of the Seed Series) is the dominant commercial product of cotton cultivation; cottonseed is the secondary product representing approximately 60% of seed-cotton weight after ginning. The regional ginning industry (anchored by Tanzania Cotton Board, Uganda Cotton Development Organisation, Cotton Development Authority Kenya, plus a network of commercial ginneries) therefore drives all regional cottonseed post-harvest economics.</w:t>
      </w:r>
    </w:p>
    <w:p>
      <w:pPr>
        <w:spacing w:after="120" w:line="300"/>
      </w:pPr>
      <w:r>
        <w:rPr>
          <w:rFonts w:ascii="Calibri" w:cs="Calibri" w:eastAsia="Calibri" w:hAnsi="Calibri"/>
          <w:color w:val="1B1B1B"/>
          <w:sz w:val="22"/>
          <w:szCs w:val="22"/>
        </w:rPr>
        <w:t xml:space="preserve">Cottonseed has two principal commercial uses: oil extraction (cottonseed oil for cooking and industrial applications) and meal/cake production (cottonseed meal as a livestock feed protein input, with management of gossypol toxicity considerations). Regional cottonseed-oil retail brands (Bidco, Mount Meru, Mukwano formulations including cottonseed) carry significant urban-retail share. The structural commercial trajectory is tied to regional cotton production trajectory — which has been variable across the past decade with Bt cotton introduction in Kenya the principal recent development.</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Ginning (the source operation): </w:t>
      </w:r>
      <w:r>
        <w:rPr>
          <w:rFonts w:ascii="Calibri" w:cs="Calibri" w:eastAsia="Calibri" w:hAnsi="Calibri"/>
          <w:color w:val="1B1B1B"/>
          <w:sz w:val="22"/>
          <w:szCs w:val="22"/>
        </w:rPr>
        <w:t xml:space="preserve">Cotton ginning separates lint (primary product) from seed (cottonseed). Saw ginning is the regional commercial standard; roller ginning for premium long-staple varieties. Ginning produces seed at 8–12% moisture suitable for direct storage.</w:t>
      </w:r>
    </w:p>
    <w:p>
      <w:pPr>
        <w:pStyle w:val="ListParagraph"/>
        <w:numPr>
          <w:ilvl w:val="0"/>
          <w:numId w:val="2"/>
        </w:numPr>
        <w:spacing w:after="80" w:line="290"/>
      </w:pPr>
      <w:r>
        <w:rPr>
          <w:rFonts w:ascii="Calibri" w:cs="Calibri" w:eastAsia="Calibri" w:hAnsi="Calibri"/>
          <w:b/>
          <w:bCs/>
          <w:color w:val="1B1B1B"/>
          <w:sz w:val="22"/>
          <w:szCs w:val="22"/>
        </w:rPr>
        <w:t xml:space="preserve">Linting and delinting: </w:t>
      </w:r>
      <w:r>
        <w:rPr>
          <w:rFonts w:ascii="Calibri" w:cs="Calibri" w:eastAsia="Calibri" w:hAnsi="Calibri"/>
          <w:color w:val="1B1B1B"/>
          <w:sz w:val="22"/>
          <w:szCs w:val="22"/>
        </w:rPr>
        <w:t xml:space="preserve">Cottonseed retains residual short fibre (linters) after primary ginning; commercial delinting operations (acid-delinting or mechanical-delinting) produce smooth seed for crushing. Some operations skip delinting.</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Mechanical drying at ginning operations as needed; cottonseed at ginning is typically already at acceptable moisture for storage.</w:t>
      </w:r>
    </w:p>
    <w:p>
      <w:pPr>
        <w:pStyle w:val="ListParagraph"/>
        <w:numPr>
          <w:ilvl w:val="0"/>
          <w:numId w:val="2"/>
        </w:numPr>
        <w:spacing w:after="80" w:line="290"/>
      </w:pPr>
      <w:r>
        <w:rPr>
          <w:rFonts w:ascii="Calibri" w:cs="Calibri" w:eastAsia="Calibri" w:hAnsi="Calibri"/>
          <w:b/>
          <w:bCs/>
          <w:color w:val="1B1B1B"/>
          <w:sz w:val="22"/>
          <w:szCs w:val="22"/>
        </w:rPr>
        <w:t xml:space="preserve">Cleaning: </w:t>
      </w:r>
      <w:r>
        <w:rPr>
          <w:rFonts w:ascii="Calibri" w:cs="Calibri" w:eastAsia="Calibri" w:hAnsi="Calibri"/>
          <w:color w:val="1B1B1B"/>
          <w:sz w:val="22"/>
          <w:szCs w:val="22"/>
        </w:rPr>
        <w:t xml:space="preserve">Air-screen cleaning at ginning to remove foreign matter; further cleaning at crushing-mill receipt.</w:t>
      </w:r>
    </w:p>
    <w:p>
      <w:pPr>
        <w:pStyle w:val="ListParagraph"/>
        <w:numPr>
          <w:ilvl w:val="0"/>
          <w:numId w:val="2"/>
        </w:numPr>
        <w:spacing w:after="80" w:line="290"/>
      </w:pPr>
      <w:r>
        <w:rPr>
          <w:rFonts w:ascii="Calibri" w:cs="Calibri" w:eastAsia="Calibri" w:hAnsi="Calibri"/>
          <w:b/>
          <w:bCs/>
          <w:color w:val="1B1B1B"/>
          <w:sz w:val="22"/>
          <w:szCs w:val="22"/>
        </w:rPr>
        <w:t xml:space="preserve">Storage — commercial: </w:t>
      </w:r>
      <w:r>
        <w:rPr>
          <w:rFonts w:ascii="Calibri" w:cs="Calibri" w:eastAsia="Calibri" w:hAnsi="Calibri"/>
          <w:color w:val="1B1B1B"/>
          <w:sz w:val="22"/>
          <w:szCs w:val="22"/>
        </w:rPr>
        <w:t xml:space="preserve">Bulk warehousing at ginning operations; bag and bulk transport to commercial crushing operators; emerging hermetic and modified-atmosphere storage at premium-operator scale.</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Bollworms and other lepidopteran pests during pre-harvest cotton cultivation; storage pest pressure manageable with phosphine fumigation. Bt cotton (Kenya commercial) reduces pre-harvest pest pressure.</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Oil extraction (the principal value-add): </w:t>
      </w:r>
      <w:r>
        <w:rPr>
          <w:rFonts w:ascii="Calibri" w:cs="Calibri" w:eastAsia="Calibri" w:hAnsi="Calibri"/>
          <w:color w:val="1B1B1B"/>
          <w:sz w:val="22"/>
          <w:szCs w:val="22"/>
        </w:rPr>
        <w:t xml:space="preserve">Solvent extraction or expeller pressing at commercial mill scale; oil yield typically 16–20% of seed weight. Major regional operators: Bidco Africa (cottonseed division); Mount Meru Millers (Tanzania Lake Zone); Mukwano (Uganda); emerging private commercial operators.</w:t>
      </w:r>
    </w:p>
    <w:p>
      <w:pPr>
        <w:pStyle w:val="ListParagraph"/>
        <w:numPr>
          <w:ilvl w:val="0"/>
          <w:numId w:val="2"/>
        </w:numPr>
        <w:spacing w:after="80" w:line="290"/>
      </w:pPr>
      <w:r>
        <w:rPr>
          <w:rFonts w:ascii="Calibri" w:cs="Calibri" w:eastAsia="Calibri" w:hAnsi="Calibri"/>
          <w:b/>
          <w:bCs/>
          <w:color w:val="1B1B1B"/>
          <w:sz w:val="22"/>
          <w:szCs w:val="22"/>
        </w:rPr>
        <w:t xml:space="preserve">Refining (gossypol removal critical): </w:t>
      </w:r>
      <w:r>
        <w:rPr>
          <w:rFonts w:ascii="Calibri" w:cs="Calibri" w:eastAsia="Calibri" w:hAnsi="Calibri"/>
          <w:color w:val="1B1B1B"/>
          <w:sz w:val="22"/>
          <w:szCs w:val="22"/>
        </w:rPr>
        <w:t xml:space="preserve">Crude cottonseed oil refining must remove gossypol (a toxic phenolic compound naturally present in cotton seed) to produce food-grade oil. Standard refining (degumming, neutralisation, bleaching, deodorisation) achieves food-grade specifications.</w:t>
      </w:r>
    </w:p>
    <w:p>
      <w:pPr>
        <w:pStyle w:val="ListParagraph"/>
        <w:numPr>
          <w:ilvl w:val="0"/>
          <w:numId w:val="2"/>
        </w:numPr>
        <w:spacing w:after="80" w:line="290"/>
      </w:pPr>
      <w:r>
        <w:rPr>
          <w:rFonts w:ascii="Calibri" w:cs="Calibri" w:eastAsia="Calibri" w:hAnsi="Calibri"/>
          <w:b/>
          <w:bCs/>
          <w:color w:val="1B1B1B"/>
          <w:sz w:val="22"/>
          <w:szCs w:val="22"/>
        </w:rPr>
        <w:t xml:space="preserve">Cottonseed meal / cake (the by-product): </w:t>
      </w:r>
      <w:r>
        <w:rPr>
          <w:rFonts w:ascii="Calibri" w:cs="Calibri" w:eastAsia="Calibri" w:hAnsi="Calibri"/>
          <w:color w:val="1B1B1B"/>
          <w:sz w:val="22"/>
          <w:szCs w:val="22"/>
        </w:rPr>
        <w:t xml:space="preserve">Defatted cottonseed meal carries 28–41% protein but contains residual gossypol that limits inclusion rate in non-ruminant feeds; ruminants tolerate higher gossypol levels. Major buyers: Unga Feeds; Bidco Animal Feeds; regional dairy-feed integrators.</w:t>
      </w:r>
    </w:p>
    <w:p>
      <w:pPr>
        <w:pStyle w:val="ListParagraph"/>
        <w:numPr>
          <w:ilvl w:val="0"/>
          <w:numId w:val="2"/>
        </w:numPr>
        <w:spacing w:after="80" w:line="290"/>
      </w:pPr>
      <w:r>
        <w:rPr>
          <w:rFonts w:ascii="Calibri" w:cs="Calibri" w:eastAsia="Calibri" w:hAnsi="Calibri"/>
          <w:b/>
          <w:bCs/>
          <w:color w:val="1B1B1B"/>
          <w:sz w:val="22"/>
          <w:szCs w:val="22"/>
        </w:rPr>
        <w:t xml:space="preserve">Linters and short fibre: </w:t>
      </w:r>
      <w:r>
        <w:rPr>
          <w:rFonts w:ascii="Calibri" w:cs="Calibri" w:eastAsia="Calibri" w:hAnsi="Calibri"/>
          <w:color w:val="1B1B1B"/>
          <w:sz w:val="22"/>
          <w:szCs w:val="22"/>
        </w:rPr>
        <w:t xml:space="preserve">Cottonseed linters (the residual short fibres on cottonseed) used for paper-making, cellulose-derivative production, and felt manufacturing; significant industrial commercial value at scale.</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Premium cottonseed oil for specialty culinary applications; emerging organic-certified cottonseed oil from organic-cotton supply chains.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12% maximum for safe storage; 10–11% for crushing-grade.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1–2% for crushing-grade.</w:t>
      </w:r>
    </w:p>
    <w:p>
      <w:pPr>
        <w:pStyle w:val="ListParagraph"/>
        <w:numPr>
          <w:ilvl w:val="0"/>
          <w:numId w:val="2"/>
        </w:numPr>
        <w:spacing w:after="80" w:line="290"/>
      </w:pPr>
      <w:r>
        <w:rPr>
          <w:rFonts w:ascii="Calibri" w:cs="Calibri" w:eastAsia="Calibri" w:hAnsi="Calibri"/>
          <w:color w:val="1B1B1B"/>
          <w:sz w:val="22"/>
          <w:szCs w:val="22"/>
        </w:rPr>
        <w:t xml:space="preserve">Oil content: typically minimum 17% for crushing-grade.</w:t>
      </w:r>
    </w:p>
    <w:p>
      <w:pPr>
        <w:pStyle w:val="ListParagraph"/>
        <w:numPr>
          <w:ilvl w:val="0"/>
          <w:numId w:val="2"/>
        </w:numPr>
        <w:spacing w:after="80" w:line="290"/>
      </w:pPr>
      <w:r>
        <w:rPr>
          <w:rFonts w:ascii="Calibri" w:cs="Calibri" w:eastAsia="Calibri" w:hAnsi="Calibri"/>
          <w:color w:val="1B1B1B"/>
          <w:sz w:val="22"/>
          <w:szCs w:val="22"/>
        </w:rPr>
        <w:t xml:space="preserve">Free fatty acid (FFA): typically maximum 3% for crude oil; tighter for refined.</w:t>
      </w:r>
    </w:p>
    <w:p>
      <w:pPr>
        <w:pStyle w:val="ListParagraph"/>
        <w:numPr>
          <w:ilvl w:val="0"/>
          <w:numId w:val="2"/>
        </w:numPr>
        <w:spacing w:after="80" w:line="290"/>
      </w:pPr>
      <w:r>
        <w:rPr>
          <w:rFonts w:ascii="Calibri" w:cs="Calibri" w:eastAsia="Calibri" w:hAnsi="Calibri"/>
          <w:color w:val="1B1B1B"/>
          <w:sz w:val="22"/>
          <w:szCs w:val="22"/>
        </w:rPr>
        <w:t xml:space="preserve">Gossypol content (refined oil): typically below 0.45% (food-grade specification).</w:t>
      </w:r>
    </w:p>
    <w:p>
      <w:pPr>
        <w:pStyle w:val="ListParagraph"/>
        <w:numPr>
          <w:ilvl w:val="0"/>
          <w:numId w:val="2"/>
        </w:numPr>
        <w:spacing w:after="80" w:line="290"/>
      </w:pPr>
      <w:r>
        <w:rPr>
          <w:rFonts w:ascii="Calibri" w:cs="Calibri" w:eastAsia="Calibri" w:hAnsi="Calibri"/>
          <w:color w:val="1B1B1B"/>
          <w:sz w:val="22"/>
          <w:szCs w:val="22"/>
        </w:rPr>
        <w:t xml:space="preserve">Aflatoxin total (cottonseed meal): typically below 10–20 ppb for ruminant-feed-grade; tighter for non-ruminant.</w:t>
      </w:r>
    </w:p>
    <w:p>
      <w:pPr>
        <w:pStyle w:val="ListParagraph"/>
        <w:numPr>
          <w:ilvl w:val="0"/>
          <w:numId w:val="2"/>
        </w:numPr>
        <w:spacing w:after="80" w:line="290"/>
      </w:pPr>
      <w:r>
        <w:rPr>
          <w:rFonts w:ascii="Calibri" w:cs="Calibri" w:eastAsia="Calibri" w:hAnsi="Calibri"/>
          <w:color w:val="1B1B1B"/>
          <w:sz w:val="22"/>
          <w:szCs w:val="22"/>
        </w:rPr>
        <w:t xml:space="preserve">Certification: KEBS, TBS, UNBS standards; food-grade oil requires gossypol-removal documentation.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regional commercial mill suppliers. Ginning operations: Cotton Development Authority-licensed ginneries; Salawa, Kisumu, Mwea-area ginneries (which produce the cottonseed feedstock). Crushing mills: Bidco Africa; emerging private commercial operators. Feed integrators: Unga Feeds; Bidco Animal Feeds.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TEMDO; private suppliers. Ginning operations: Tanzania Cotton Board-licensed ginneries; Olam Tanzania (cotton division); Birchand Oil (Lake Zone); Alliance Ginneries. Crushing mills: Mount Meru Millers (the regional Lake Zone leader); Bakhresa Group; Bidco Tanzania. Feed integrators: Bakhresa Feeds.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Ginning operations: Cotton Development Organisation-licensed ginneries; West Nile and Lango ginnery cooperatives. Crushing mills: Mukwano (the regional cottonseed-crushing leader); BIDCO Uganda.</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Limited commercial cotton supply at scale; minor cottonseed availability.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Limited commercial cotton supply; OTB-related supply (modest).</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Cottonseed post-harvest is the regional ginning-by-product story — commercial structure determined upstream by cotton production and ginning operations rather than by independent cottonseed supply-chain decisions. The regional commercial infrastructure is functional through established crushing-and-refining operators.</w:t>
      </w:r>
    </w:p>
    <w:p>
      <w:pPr>
        <w:spacing w:after="120" w:line="300"/>
      </w:pPr>
      <w:r>
        <w:rPr>
          <w:rFonts w:ascii="Calibri" w:cs="Calibri" w:eastAsia="Calibri" w:hAnsi="Calibri"/>
          <w:color w:val="1B1B1B"/>
          <w:sz w:val="22"/>
          <w:szCs w:val="22"/>
        </w:rPr>
        <w:t xml:space="preserve">For ginnery operators, the actionable rule is integrated cottonseed-handling-and-marketing alongside lint operations — the by-product carries structural commercial value that warrants management discipline. For commercial crushing operators, cottonseed remains a complementary feedstock alongside sunflower and soybean. For policy and impact investment, cottonseed economics depend principally on regional cotton production trajectory — which the Bt cotton introduction in Kenya, Tanzanian conventional cotton stabilisation, and Ugandan cooperative cotton revival together shape over the coming decade.</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05</w:t>
            </w:r>
          </w:p>
          <w:p>
            <w:pPr>
              <w:spacing w:after="40"/>
            </w:pPr>
            <w:r>
              <w:rPr>
                <w:rFonts w:ascii="Calibri" w:cs="Calibri" w:eastAsia="Calibri" w:hAnsi="Calibri"/>
                <w:b/>
                <w:bCs/>
                <w:color w:val="FFFFFF"/>
                <w:sz w:val="36"/>
                <w:szCs w:val="36"/>
              </w:rPr>
              <w:t xml:space="preserve">Linseed (Flaxseed)</w:t>
            </w:r>
          </w:p>
          <w:p>
            <w:r>
              <w:rPr>
                <w:rFonts w:ascii="Calibri" w:cs="Calibri" w:eastAsia="Calibri" w:hAnsi="Calibri"/>
                <w:i/>
                <w:iCs/>
                <w:color w:val="FFFFFF"/>
                <w:sz w:val="20"/>
                <w:szCs w:val="20"/>
              </w:rPr>
              <w:t xml:space="preserve">Linum usitatissimum</w:t>
            </w:r>
            <w:r>
              <w:rPr>
                <w:rFonts w:ascii="Calibri" w:cs="Calibri" w:eastAsia="Calibri" w:hAnsi="Calibri"/>
                <w:color w:val="FFFFFF"/>
                <w:sz w:val="20"/>
                <w:szCs w:val="20"/>
              </w:rPr>
              <w:t xml:space="preserve">   •   Lin (regional)  •  The omega-3 premium-niche oilseed</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(pilot-stage)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8–9%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Polypropylene bags; emerging hermetic adoption; minor regional commercial scale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Highland KE (Mt Kenya, Aberdares pilot); minor TZ pilot; minor UG, RW,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Linseed (also called flaxseed) is East Africa’s minor regional oilseed with structurally rising premium-niche commercial trajectory. The crop produces seeds rich in omega-3 fatty acids (alpha-linolenic acid, ALA) at concentrations 50–60% of total oil content, making it the highest-omega-3 seed crop globally. Regional pilot production has emerged through highland Kenya (Mt Kenya, Aberdares); Tanzania, Uganda, Rwanda and Burundi production is limited.</w:t>
      </w:r>
    </w:p>
    <w:p>
      <w:pPr>
        <w:spacing w:after="120" w:line="300"/>
      </w:pPr>
      <w:r>
        <w:rPr>
          <w:rFonts w:ascii="Calibri" w:cs="Calibri" w:eastAsia="Calibri" w:hAnsi="Calibri"/>
          <w:color w:val="1B1B1B"/>
          <w:sz w:val="22"/>
          <w:szCs w:val="22"/>
        </w:rPr>
        <w:t xml:space="preserve">Linseed post-harvest economics are dominated by the premium-niche health-food market and emerging cold-pressed-oil specialty retail. The dual-product structure (whole-seed retail for health-food consumers, cold-pressed oil for premium culinary and supplement markets) drives commercial trajectory. Industrial flax (for linen fibre and linseed oil for industrial applications including paint, varnish, and oil-cloth manufacturing) carries separate value chain dynamics with limited current regional scale.</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Harvest at full seed maturity when 90–95% of capsules turn brown and rattle when shaken; linseed shatters less than canola but timing remains important.</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or mechanical drying to 8–9% moisture for safe storage; linseed is highly susceptible to oil-quality degradation under poor storage conditions due to the high polyunsaturated fatty acid content.</w:t>
      </w:r>
    </w:p>
    <w:p>
      <w:pPr>
        <w:pStyle w:val="ListParagraph"/>
        <w:numPr>
          <w:ilvl w:val="0"/>
          <w:numId w:val="2"/>
        </w:numPr>
        <w:spacing w:after="80" w:line="290"/>
      </w:pPr>
      <w:r>
        <w:rPr>
          <w:rFonts w:ascii="Calibri" w:cs="Calibri" w:eastAsia="Calibri" w:hAnsi="Calibri"/>
          <w:b/>
          <w:bCs/>
          <w:color w:val="1B1B1B"/>
          <w:sz w:val="22"/>
          <w:szCs w:val="22"/>
        </w:rPr>
        <w:t xml:space="preserve">Threshing: </w:t>
      </w:r>
      <w:r>
        <w:rPr>
          <w:rFonts w:ascii="Calibri" w:cs="Calibri" w:eastAsia="Calibri" w:hAnsi="Calibri"/>
          <w:color w:val="1B1B1B"/>
          <w:sz w:val="22"/>
          <w:szCs w:val="22"/>
        </w:rPr>
        <w:t xml:space="preserve">Mechanical threshing or hand-threshing on tarps; combine harvesting at commercial scale (limited regional adoption).</w:t>
      </w:r>
    </w:p>
    <w:p>
      <w:pPr>
        <w:pStyle w:val="ListParagraph"/>
        <w:numPr>
          <w:ilvl w:val="0"/>
          <w:numId w:val="2"/>
        </w:numPr>
        <w:spacing w:after="80" w:line="290"/>
      </w:pPr>
      <w:r>
        <w:rPr>
          <w:rFonts w:ascii="Calibri" w:cs="Calibri" w:eastAsia="Calibri" w:hAnsi="Calibri"/>
          <w:b/>
          <w:bCs/>
          <w:color w:val="1B1B1B"/>
          <w:sz w:val="22"/>
          <w:szCs w:val="22"/>
        </w:rPr>
        <w:t xml:space="preserve">Cleaning: </w:t>
      </w:r>
      <w:r>
        <w:rPr>
          <w:rFonts w:ascii="Calibri" w:cs="Calibri" w:eastAsia="Calibri" w:hAnsi="Calibri"/>
          <w:color w:val="1B1B1B"/>
          <w:sz w:val="22"/>
          <w:szCs w:val="22"/>
        </w:rPr>
        <w:t xml:space="preserve">Air-screen cleaners and small-mesh sieves; the small seed size requires fine cleaning capacity.</w:t>
      </w:r>
    </w:p>
    <w:p>
      <w:pPr>
        <w:pStyle w:val="ListParagraph"/>
        <w:numPr>
          <w:ilvl w:val="0"/>
          <w:numId w:val="2"/>
        </w:numPr>
        <w:spacing w:after="80" w:line="290"/>
      </w:pPr>
      <w:r>
        <w:rPr>
          <w:rFonts w:ascii="Calibri" w:cs="Calibri" w:eastAsia="Calibri" w:hAnsi="Calibri"/>
          <w:b/>
          <w:bCs/>
          <w:color w:val="1B1B1B"/>
          <w:sz w:val="22"/>
          <w:szCs w:val="22"/>
        </w:rPr>
        <w:t xml:space="preserve">Storage: </w:t>
      </w:r>
      <w:r>
        <w:rPr>
          <w:rFonts w:ascii="Calibri" w:cs="Calibri" w:eastAsia="Calibri" w:hAnsi="Calibri"/>
          <w:color w:val="1B1B1B"/>
          <w:sz w:val="22"/>
          <w:szCs w:val="22"/>
        </w:rPr>
        <w:t xml:space="preserve">Polypropylene bags at smallholder scale; hermetic and cool storage at premium operator scale; cold storage emerging for premium oil-grade linseed retention.</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Standard oilseed storage pest pressure; hermetic storage and turn-of-stock management are principal controls.</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Cold-pressed oil (the dominant premium channel): </w:t>
      </w:r>
      <w:r>
        <w:rPr>
          <w:rFonts w:ascii="Calibri" w:cs="Calibri" w:eastAsia="Calibri" w:hAnsi="Calibri"/>
          <w:color w:val="1B1B1B"/>
          <w:sz w:val="22"/>
          <w:szCs w:val="22"/>
        </w:rPr>
        <w:t xml:space="preserve">Mechanical expeller pressing at low temperature for premium retail oil; oil yield 30–35% of seed weight. The cold-pressing discipline preserves omega-3 fatty acid integrity that is destroyed by hexane-extraction-and-refining.</w:t>
      </w:r>
    </w:p>
    <w:p>
      <w:pPr>
        <w:pStyle w:val="ListParagraph"/>
        <w:numPr>
          <w:ilvl w:val="0"/>
          <w:numId w:val="2"/>
        </w:numPr>
        <w:spacing w:after="80" w:line="290"/>
      </w:pPr>
      <w:r>
        <w:rPr>
          <w:rFonts w:ascii="Calibri" w:cs="Calibri" w:eastAsia="Calibri" w:hAnsi="Calibri"/>
          <w:b/>
          <w:bCs/>
          <w:color w:val="1B1B1B"/>
          <w:sz w:val="22"/>
          <w:szCs w:val="22"/>
        </w:rPr>
        <w:t xml:space="preserve">Whole-seed retail: </w:t>
      </w:r>
      <w:r>
        <w:rPr>
          <w:rFonts w:ascii="Calibri" w:cs="Calibri" w:eastAsia="Calibri" w:hAnsi="Calibri"/>
          <w:color w:val="1B1B1B"/>
          <w:sz w:val="22"/>
          <w:szCs w:val="22"/>
        </w:rPr>
        <w:t xml:space="preserve">Whole linseed for health-food retail and culinary applications (smoothies, baking, salads); ground linseed for nutritional supplement applications. Significant regional premium-retail commercial trajectory through 2024–2026.</w:t>
      </w:r>
    </w:p>
    <w:p>
      <w:pPr>
        <w:pStyle w:val="ListParagraph"/>
        <w:numPr>
          <w:ilvl w:val="0"/>
          <w:numId w:val="2"/>
        </w:numPr>
        <w:spacing w:after="80" w:line="290"/>
      </w:pPr>
      <w:r>
        <w:rPr>
          <w:rFonts w:ascii="Calibri" w:cs="Calibri" w:eastAsia="Calibri" w:hAnsi="Calibri"/>
          <w:b/>
          <w:bCs/>
          <w:color w:val="1B1B1B"/>
          <w:sz w:val="22"/>
          <w:szCs w:val="22"/>
        </w:rPr>
        <w:t xml:space="preserve">Industrial uses (limited regional scale): </w:t>
      </w:r>
      <w:r>
        <w:rPr>
          <w:rFonts w:ascii="Calibri" w:cs="Calibri" w:eastAsia="Calibri" w:hAnsi="Calibri"/>
          <w:color w:val="1B1B1B"/>
          <w:sz w:val="22"/>
          <w:szCs w:val="22"/>
        </w:rPr>
        <w:t xml:space="preserve">Linseed oil for paint, varnish, oil-cloth manufacturing; minimal current regional industrial scale.</w:t>
      </w:r>
    </w:p>
    <w:p>
      <w:pPr>
        <w:pStyle w:val="ListParagraph"/>
        <w:numPr>
          <w:ilvl w:val="0"/>
          <w:numId w:val="2"/>
        </w:numPr>
        <w:spacing w:after="80" w:line="290"/>
      </w:pPr>
      <w:r>
        <w:rPr>
          <w:rFonts w:ascii="Calibri" w:cs="Calibri" w:eastAsia="Calibri" w:hAnsi="Calibri"/>
          <w:b/>
          <w:bCs/>
          <w:color w:val="1B1B1B"/>
          <w:sz w:val="22"/>
          <w:szCs w:val="22"/>
        </w:rPr>
        <w:t xml:space="preserve">Linseed meal (the by-product): </w:t>
      </w:r>
      <w:r>
        <w:rPr>
          <w:rFonts w:ascii="Calibri" w:cs="Calibri" w:eastAsia="Calibri" w:hAnsi="Calibri"/>
          <w:color w:val="1B1B1B"/>
          <w:sz w:val="22"/>
          <w:szCs w:val="22"/>
        </w:rPr>
        <w:t xml:space="preserve">Defatted linseed meal as livestock-feed input; modest regional commercial scale.</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Single-origin highland Kenya cold-pressed linseed oil for premium retail; emerging organic-certified pilot programmes; flaxseed-derived nutritional supplement product lines.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9% maximum for safe storage.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 for premium grade.</w:t>
      </w:r>
    </w:p>
    <w:p>
      <w:pPr>
        <w:pStyle w:val="ListParagraph"/>
        <w:numPr>
          <w:ilvl w:val="0"/>
          <w:numId w:val="2"/>
        </w:numPr>
        <w:spacing w:after="80" w:line="290"/>
      </w:pPr>
      <w:r>
        <w:rPr>
          <w:rFonts w:ascii="Calibri" w:cs="Calibri" w:eastAsia="Calibri" w:hAnsi="Calibri"/>
          <w:color w:val="1B1B1B"/>
          <w:sz w:val="22"/>
          <w:szCs w:val="22"/>
        </w:rPr>
        <w:t xml:space="preserve">Damaged kernels: typically maximum 3–5% for premium grade.</w:t>
      </w:r>
    </w:p>
    <w:p>
      <w:pPr>
        <w:pStyle w:val="ListParagraph"/>
        <w:numPr>
          <w:ilvl w:val="0"/>
          <w:numId w:val="2"/>
        </w:numPr>
        <w:spacing w:after="80" w:line="290"/>
      </w:pPr>
      <w:r>
        <w:rPr>
          <w:rFonts w:ascii="Calibri" w:cs="Calibri" w:eastAsia="Calibri" w:hAnsi="Calibri"/>
          <w:color w:val="1B1B1B"/>
          <w:sz w:val="22"/>
          <w:szCs w:val="22"/>
        </w:rPr>
        <w:t xml:space="preserve">Oil content: typically minimum 38% for premium-grade.</w:t>
      </w:r>
    </w:p>
    <w:p>
      <w:pPr>
        <w:pStyle w:val="ListParagraph"/>
        <w:numPr>
          <w:ilvl w:val="0"/>
          <w:numId w:val="2"/>
        </w:numPr>
        <w:spacing w:after="80" w:line="290"/>
      </w:pPr>
      <w:r>
        <w:rPr>
          <w:rFonts w:ascii="Calibri" w:cs="Calibri" w:eastAsia="Calibri" w:hAnsi="Calibri"/>
          <w:color w:val="1B1B1B"/>
          <w:sz w:val="22"/>
          <w:szCs w:val="22"/>
        </w:rPr>
        <w:t xml:space="preserve">ALA (alpha-linolenic acid) content: typically minimum 50% of oil for premium-omega-3-grade.</w:t>
      </w:r>
    </w:p>
    <w:p>
      <w:pPr>
        <w:pStyle w:val="ListParagraph"/>
        <w:numPr>
          <w:ilvl w:val="0"/>
          <w:numId w:val="2"/>
        </w:numPr>
        <w:spacing w:after="80" w:line="290"/>
      </w:pPr>
      <w:r>
        <w:rPr>
          <w:rFonts w:ascii="Calibri" w:cs="Calibri" w:eastAsia="Calibri" w:hAnsi="Calibri"/>
          <w:color w:val="1B1B1B"/>
          <w:sz w:val="22"/>
          <w:szCs w:val="22"/>
        </w:rPr>
        <w:t xml:space="preserve">Free fatty acid (FFA): typically maximum 1.5% for premium cold-pressed grade.</w:t>
      </w:r>
    </w:p>
    <w:p>
      <w:pPr>
        <w:pStyle w:val="ListParagraph"/>
        <w:numPr>
          <w:ilvl w:val="0"/>
          <w:numId w:val="2"/>
        </w:numPr>
        <w:spacing w:after="80" w:line="290"/>
      </w:pPr>
      <w:r>
        <w:rPr>
          <w:rFonts w:ascii="Calibri" w:cs="Calibri" w:eastAsia="Calibri" w:hAnsi="Calibri"/>
          <w:color w:val="1B1B1B"/>
          <w:sz w:val="22"/>
          <w:szCs w:val="22"/>
        </w:rPr>
        <w:t xml:space="preserve">Certification: KEBS, TBS standards apply; premium retail typically requires omega-3-content documentation.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regional commercial mill suppliers; KALRO Embu-linked emerging networks. Processors: emerging premium-niche cold-pressed operators in Mt Kenya highland zones; specialty health-food retail brands.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regional imports. Processors: limited; pilot stage.</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Pilot stage only.</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Pilot stage only.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Pilot stage only.</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Linseed post-harvest is the regional emerging-premium-niche-oilseed watching-brief category — limited current production scale, structurally rising omega-3 health-food retail trajectory, established cold-pressed-oil premium retail demand absorbing pilot production volumes.</w:t>
      </w:r>
    </w:p>
    <w:p>
      <w:pPr>
        <w:spacing w:after="120" w:line="300"/>
      </w:pPr>
      <w:r>
        <w:rPr>
          <w:rFonts w:ascii="Calibri" w:cs="Calibri" w:eastAsia="Calibri" w:hAnsi="Calibri"/>
          <w:color w:val="1B1B1B"/>
          <w:sz w:val="22"/>
          <w:szCs w:val="22"/>
        </w:rPr>
        <w:t xml:space="preserve">For pilot-stage linseed producers in highland Kenya, the actionable rule is small-scale cooperative aggregation with cold-pressed-oil specialty processor networks. For impact investors and commercial operators, linseed represents an emerging premium-niche commercial trajectory paralleling the lentil and quinoa highland-pilot stories — small current scale, clear structural demand profile, dependent on coordinated production-and-processing investment momentum.</w:t>
      </w:r>
    </w:p>
    <w:p>
      <w:r>
        <w:br w:type="pag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none" w:color="FFFFFF" w:sz="0"/>
              <w:left w:val="none" w:color="FFFFFF" w:sz="0"/>
              <w:bottom w:val="single" w:color="79B93E" w:sz="14"/>
              <w:right w:val="none" w:color="FFFFFF" w:sz="0"/>
            </w:tcBorders>
            <w:shd w:fill="2E7D32" w:val="clear"/>
            <w:tcMar>
              <w:top w:type="dxa" w:w="200"/>
              <w:left w:type="dxa" w:w="240"/>
              <w:bottom w:type="dxa" w:w="200"/>
              <w:right w:type="dxa" w:w="240"/>
            </w:tcMar>
          </w:tcPr>
          <w:p>
            <w:pPr>
              <w:spacing w:after="40"/>
            </w:pPr>
            <w:r>
              <w:rPr>
                <w:rFonts w:ascii="Calibri" w:cs="Calibri" w:eastAsia="Calibri" w:hAnsi="Calibri"/>
                <w:b/>
                <w:bCs/>
                <w:color w:val="FFFFFF"/>
                <w:spacing w:val="40"/>
                <w:sz w:val="16"/>
                <w:szCs w:val="16"/>
              </w:rPr>
              <w:t xml:space="preserve">CROP 06</w:t>
            </w:r>
          </w:p>
          <w:p>
            <w:pPr>
              <w:spacing w:after="40"/>
            </w:pPr>
            <w:r>
              <w:rPr>
                <w:rFonts w:ascii="Calibri" w:cs="Calibri" w:eastAsia="Calibri" w:hAnsi="Calibri"/>
                <w:b/>
                <w:bCs/>
                <w:color w:val="FFFFFF"/>
                <w:sz w:val="36"/>
                <w:szCs w:val="36"/>
              </w:rPr>
              <w:t xml:space="preserve">Castor</w:t>
            </w:r>
          </w:p>
          <w:p>
            <w:r>
              <w:rPr>
                <w:rFonts w:ascii="Calibri" w:cs="Calibri" w:eastAsia="Calibri" w:hAnsi="Calibri"/>
                <w:i/>
                <w:iCs/>
                <w:color w:val="FFFFFF"/>
                <w:sz w:val="20"/>
                <w:szCs w:val="20"/>
              </w:rPr>
              <w:t xml:space="preserve">Ricinus communis</w:t>
            </w:r>
            <w:r>
              <w:rPr>
                <w:rFonts w:ascii="Calibri" w:cs="Calibri" w:eastAsia="Calibri" w:hAnsi="Calibri"/>
                <w:color w:val="FFFFFF"/>
                <w:sz w:val="20"/>
                <w:szCs w:val="20"/>
              </w:rPr>
              <w:t xml:space="preserve">   •   Mbarika (Sw)  •  The industrial oil and biofuel-frontier crop</w:t>
            </w:r>
          </w:p>
        </w:tc>
      </w:tr>
    </w:tbl>
    <w:p>
      <w:r>
        <w:t xml:space="preserve"/>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LOSS RANGE</w:t>
            </w:r>
          </w:p>
          <w:p>
            <w:r>
              <w:rPr>
                <w:rFonts w:ascii="Calibri" w:cs="Calibri" w:eastAsia="Calibri" w:hAnsi="Calibri"/>
                <w:color w:val="1B1B1B"/>
                <w:sz w:val="20"/>
                <w:szCs w:val="20"/>
              </w:rPr>
              <w:t xml:space="preserve">10–20% post-harvest loss (smallholder, including capsule shatter)</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DRYING TARGET</w:t>
            </w:r>
          </w:p>
          <w:p>
            <w:r>
              <w:rPr>
                <w:rFonts w:ascii="Calibri" w:cs="Calibri" w:eastAsia="Calibri" w:hAnsi="Calibri"/>
                <w:color w:val="1B1B1B"/>
                <w:sz w:val="20"/>
                <w:szCs w:val="20"/>
              </w:rPr>
              <w:t xml:space="preserve">8–9% moisture content for safe storage</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STORAGE APPROACH</w:t>
            </w:r>
          </w:p>
          <w:p>
            <w:r>
              <w:rPr>
                <w:rFonts w:ascii="Calibri" w:cs="Calibri" w:eastAsia="Calibri" w:hAnsi="Calibri"/>
                <w:color w:val="1B1B1B"/>
                <w:sz w:val="20"/>
                <w:szCs w:val="20"/>
              </w:rPr>
              <w:t xml:space="preserve">Polypropylene bags; commercial bulk for industrial-customer supply</w:t>
            </w:r>
          </w:p>
        </w:tc>
        <w:tc>
          <w:tcPr>
            <w:tcW w:type="dxa" w:w="2340"/>
            <w:tcBorders>
              <w:top w:val="single" w:color="FFFFFF" w:sz="4"/>
              <w:left w:val="single" w:color="FFFFFF" w:sz="4"/>
              <w:bottom w:val="single" w:color="FFFFFF" w:sz="4"/>
              <w:right w:val="single" w:color="FFFFFF" w:sz="4"/>
            </w:tcBorders>
            <w:shd w:fill="E8F1E2" w:val="clear"/>
            <w:tcMar>
              <w:top w:type="dxa" w:w="120"/>
              <w:left w:type="dxa" w:w="140"/>
              <w:bottom w:type="dxa" w:w="120"/>
              <w:right w:type="dxa" w:w="140"/>
            </w:tcMar>
          </w:tcPr>
          <w:p>
            <w:pPr>
              <w:spacing w:after="40"/>
            </w:pPr>
            <w:r>
              <w:rPr>
                <w:rFonts w:ascii="Calibri" w:cs="Calibri" w:eastAsia="Calibri" w:hAnsi="Calibri"/>
                <w:b/>
                <w:bCs/>
                <w:color w:val="2E7D32"/>
                <w:spacing w:val="30"/>
                <w:sz w:val="16"/>
                <w:szCs w:val="16"/>
              </w:rPr>
              <w:t xml:space="preserve">REGION FOCUS</w:t>
            </w:r>
          </w:p>
          <w:p>
            <w:r>
              <w:rPr>
                <w:rFonts w:ascii="Calibri" w:cs="Calibri" w:eastAsia="Calibri" w:hAnsi="Calibri"/>
                <w:color w:val="1B1B1B"/>
                <w:sz w:val="20"/>
                <w:szCs w:val="20"/>
              </w:rPr>
              <w:t xml:space="preserve">Eastern KE (Kitui, Makueni, Tharaka-Nithi semi-arid); Coast &amp; Lake Zone TZ; minor UG; pilot RW &amp; BI</w:t>
            </w:r>
          </w:p>
        </w:tc>
      </w:tr>
    </w:tbl>
    <w:p>
      <w:r>
        <w:t xml:space="preserve"/>
      </w:r>
    </w:p>
    <w:p>
      <w:pPr>
        <w:pStyle w:val="Heading3"/>
        <w:spacing w:after="60" w:before="160"/>
      </w:pPr>
      <w:r>
        <w:rPr>
          <w:rFonts w:ascii="Calibri" w:cs="Calibri" w:eastAsia="Calibri" w:hAnsi="Calibri"/>
          <w:b/>
          <w:bCs/>
          <w:color w:val="1B1B1B"/>
          <w:sz w:val="23"/>
          <w:szCs w:val="23"/>
        </w:rPr>
        <w:t xml:space="preserve">Why this matters</w:t>
      </w:r>
    </w:p>
    <w:p>
      <w:pPr>
        <w:spacing w:after="120" w:line="300"/>
      </w:pPr>
      <w:r>
        <w:rPr>
          <w:rFonts w:ascii="Calibri" w:cs="Calibri" w:eastAsia="Calibri" w:hAnsi="Calibri"/>
          <w:color w:val="1B1B1B"/>
          <w:sz w:val="22"/>
          <w:szCs w:val="22"/>
        </w:rPr>
        <w:t xml:space="preserve">Castor is East Africa’s industrial oilseed with structural growth potential through global industrial demand for bio-based lubricants, plastics, cosmetics, and emerging biofuel applications. The crop produces seeds containing 45–50% oil with unique chemical structure (ricinoleic acid representing approximately 90% of total fatty acids) that makes castor oil indispensable to numerous industrial processes for which no synthetic substitute exists at competitive cost. Regional production has been small relative to global castor demand, but commercial pilots through 2024–2026 have begun to develop infrastructure for scaled supply.</w:t>
      </w:r>
    </w:p>
    <w:p>
      <w:pPr>
        <w:spacing w:after="120" w:line="300"/>
      </w:pPr>
      <w:r>
        <w:rPr>
          <w:rFonts w:ascii="Calibri" w:cs="Calibri" w:eastAsia="Calibri" w:hAnsi="Calibri"/>
          <w:color w:val="1B1B1B"/>
          <w:sz w:val="22"/>
          <w:szCs w:val="22"/>
        </w:rPr>
        <w:t xml:space="preserve">Castor post-harvest carries a critical safety discipline: the seeds and the residual cake from oil extraction contain ricin, one of the most potent natural toxins known, plus ricinine (a less toxic alkaloid). The processing infrastructure must include integrated detoxification of post-extraction cake through heat treatment, and the supply chain must maintain rigorous separation from food-grade oilseed processing facilities. Castor post-harvest infrastructure is therefore a specialist operation — not adaptable from sunflower or sesame infrastructure without dedicated investment.</w:t>
      </w:r>
    </w:p>
    <w:p>
      <w:pPr>
        <w:pStyle w:val="Heading3"/>
        <w:spacing w:after="60" w:before="160"/>
      </w:pPr>
      <w:r>
        <w:rPr>
          <w:rFonts w:ascii="Calibri" w:cs="Calibri" w:eastAsia="Calibri" w:hAnsi="Calibri"/>
          <w:b/>
          <w:bCs/>
          <w:color w:val="1B1B1B"/>
          <w:sz w:val="23"/>
          <w:szCs w:val="23"/>
        </w:rPr>
        <w:t xml:space="preserve">The post-harvest landscape: harvest, drying, storage</w:t>
      </w:r>
    </w:p>
    <w:p>
      <w:pPr>
        <w:pStyle w:val="ListParagraph"/>
        <w:numPr>
          <w:ilvl w:val="0"/>
          <w:numId w:val="2"/>
        </w:numPr>
        <w:spacing w:after="80" w:line="290"/>
      </w:pPr>
      <w:r>
        <w:rPr>
          <w:rFonts w:ascii="Calibri" w:cs="Calibri" w:eastAsia="Calibri" w:hAnsi="Calibri"/>
          <w:b/>
          <w:bCs/>
          <w:color w:val="1B1B1B"/>
          <w:sz w:val="22"/>
          <w:szCs w:val="22"/>
        </w:rPr>
        <w:t xml:space="preserve">Harvest timing: </w:t>
      </w:r>
      <w:r>
        <w:rPr>
          <w:rFonts w:ascii="Calibri" w:cs="Calibri" w:eastAsia="Calibri" w:hAnsi="Calibri"/>
          <w:color w:val="1B1B1B"/>
          <w:sz w:val="22"/>
          <w:szCs w:val="22"/>
        </w:rPr>
        <w:t xml:space="preserve">Castor capsules ripen sequentially over an extended period; multiple harvests over 2–3 months capture sequentially-maturing capsules. Hand-harvesting of mature capsules at smallholder scale; mechanical harvesting at commercial scale (limited regional adoption).</w:t>
      </w:r>
    </w:p>
    <w:p>
      <w:pPr>
        <w:pStyle w:val="ListParagraph"/>
        <w:numPr>
          <w:ilvl w:val="0"/>
          <w:numId w:val="2"/>
        </w:numPr>
        <w:spacing w:after="80" w:line="290"/>
      </w:pPr>
      <w:r>
        <w:rPr>
          <w:rFonts w:ascii="Calibri" w:cs="Calibri" w:eastAsia="Calibri" w:hAnsi="Calibri"/>
          <w:b/>
          <w:bCs/>
          <w:color w:val="1B1B1B"/>
          <w:sz w:val="22"/>
          <w:szCs w:val="22"/>
        </w:rPr>
        <w:t xml:space="preserve">Capsule drying: </w:t>
      </w:r>
      <w:r>
        <w:rPr>
          <w:rFonts w:ascii="Calibri" w:cs="Calibri" w:eastAsia="Calibri" w:hAnsi="Calibri"/>
          <w:color w:val="1B1B1B"/>
          <w:sz w:val="22"/>
          <w:szCs w:val="22"/>
        </w:rPr>
        <w:t xml:space="preserve">Sun-drying mature capsules on tarps for 7–10 days until capsules dehisce and release seeds. The dehiscence-and-shatter behaviour parallels sesame post-harvest discipline.</w:t>
      </w:r>
    </w:p>
    <w:p>
      <w:pPr>
        <w:pStyle w:val="ListParagraph"/>
        <w:numPr>
          <w:ilvl w:val="0"/>
          <w:numId w:val="2"/>
        </w:numPr>
        <w:spacing w:after="80" w:line="290"/>
      </w:pPr>
      <w:r>
        <w:rPr>
          <w:rFonts w:ascii="Calibri" w:cs="Calibri" w:eastAsia="Calibri" w:hAnsi="Calibri"/>
          <w:b/>
          <w:bCs/>
          <w:color w:val="1B1B1B"/>
          <w:sz w:val="22"/>
          <w:szCs w:val="22"/>
        </w:rPr>
        <w:t xml:space="preserve">Seed extraction: </w:t>
      </w:r>
      <w:r>
        <w:rPr>
          <w:rFonts w:ascii="Calibri" w:cs="Calibri" w:eastAsia="Calibri" w:hAnsi="Calibri"/>
          <w:color w:val="1B1B1B"/>
          <w:sz w:val="22"/>
          <w:szCs w:val="22"/>
        </w:rPr>
        <w:t xml:space="preserve">Hand-collection of dehisced seeds; mechanical decortication for seeds remaining in partially-dehisced capsules.</w:t>
      </w:r>
    </w:p>
    <w:p>
      <w:pPr>
        <w:pStyle w:val="ListParagraph"/>
        <w:numPr>
          <w:ilvl w:val="0"/>
          <w:numId w:val="2"/>
        </w:numPr>
        <w:spacing w:after="80" w:line="290"/>
      </w:pPr>
      <w:r>
        <w:rPr>
          <w:rFonts w:ascii="Calibri" w:cs="Calibri" w:eastAsia="Calibri" w:hAnsi="Calibri"/>
          <w:b/>
          <w:bCs/>
          <w:color w:val="1B1B1B"/>
          <w:sz w:val="22"/>
          <w:szCs w:val="22"/>
        </w:rPr>
        <w:t xml:space="preserve">Drying: </w:t>
      </w:r>
      <w:r>
        <w:rPr>
          <w:rFonts w:ascii="Calibri" w:cs="Calibri" w:eastAsia="Calibri" w:hAnsi="Calibri"/>
          <w:color w:val="1B1B1B"/>
          <w:sz w:val="22"/>
          <w:szCs w:val="22"/>
        </w:rPr>
        <w:t xml:space="preserve">Sun-drying seeds to 8–9% moisture for safe storage.</w:t>
      </w:r>
    </w:p>
    <w:p>
      <w:pPr>
        <w:pStyle w:val="ListParagraph"/>
        <w:numPr>
          <w:ilvl w:val="0"/>
          <w:numId w:val="2"/>
        </w:numPr>
        <w:spacing w:after="80" w:line="290"/>
      </w:pPr>
      <w:r>
        <w:rPr>
          <w:rFonts w:ascii="Calibri" w:cs="Calibri" w:eastAsia="Calibri" w:hAnsi="Calibri"/>
          <w:b/>
          <w:bCs/>
          <w:color w:val="1B1B1B"/>
          <w:sz w:val="22"/>
          <w:szCs w:val="22"/>
        </w:rPr>
        <w:t xml:space="preserve">Cleaning: </w:t>
      </w:r>
      <w:r>
        <w:rPr>
          <w:rFonts w:ascii="Calibri" w:cs="Calibri" w:eastAsia="Calibri" w:hAnsi="Calibri"/>
          <w:color w:val="1B1B1B"/>
          <w:sz w:val="22"/>
          <w:szCs w:val="22"/>
        </w:rPr>
        <w:t xml:space="preserve">Air-screen cleaning to remove capsule fragments and foreign matter; commercial-grade cleaning critical for industrial-customer specifications.</w:t>
      </w:r>
    </w:p>
    <w:p>
      <w:pPr>
        <w:pStyle w:val="ListParagraph"/>
        <w:numPr>
          <w:ilvl w:val="0"/>
          <w:numId w:val="2"/>
        </w:numPr>
        <w:spacing w:after="80" w:line="290"/>
      </w:pPr>
      <w:r>
        <w:rPr>
          <w:rFonts w:ascii="Calibri" w:cs="Calibri" w:eastAsia="Calibri" w:hAnsi="Calibri"/>
          <w:b/>
          <w:bCs/>
          <w:color w:val="1B1B1B"/>
          <w:sz w:val="22"/>
          <w:szCs w:val="22"/>
        </w:rPr>
        <w:t xml:space="preserve">Storage — critical safety discipline: </w:t>
      </w:r>
      <w:r>
        <w:rPr>
          <w:rFonts w:ascii="Calibri" w:cs="Calibri" w:eastAsia="Calibri" w:hAnsi="Calibri"/>
          <w:color w:val="1B1B1B"/>
          <w:sz w:val="22"/>
          <w:szCs w:val="22"/>
        </w:rPr>
        <w:t xml:space="preserve">Castor seed and processed cake storage requires segregation from food-grade oilseed operations; clear labelling and dedicated facilities prevent cross-contamination. Polypropylene bags at smallholder scale; commercial bulk warehousing at industrial-customer-aggregation scale.</w:t>
      </w:r>
    </w:p>
    <w:p>
      <w:pPr>
        <w:pStyle w:val="ListParagraph"/>
        <w:numPr>
          <w:ilvl w:val="0"/>
          <w:numId w:val="2"/>
        </w:numPr>
        <w:spacing w:after="80" w:line="290"/>
      </w:pPr>
      <w:r>
        <w:rPr>
          <w:rFonts w:ascii="Calibri" w:cs="Calibri" w:eastAsia="Calibri" w:hAnsi="Calibri"/>
          <w:b/>
          <w:bCs/>
          <w:color w:val="1B1B1B"/>
          <w:sz w:val="22"/>
          <w:szCs w:val="22"/>
        </w:rPr>
        <w:t xml:space="preserve">Pest control: </w:t>
      </w:r>
      <w:r>
        <w:rPr>
          <w:rFonts w:ascii="Calibri" w:cs="Calibri" w:eastAsia="Calibri" w:hAnsi="Calibri"/>
          <w:color w:val="1B1B1B"/>
          <w:sz w:val="22"/>
          <w:szCs w:val="22"/>
        </w:rPr>
        <w:t xml:space="preserve">Standard oilseed storage pest pressure; hermetic storage and phosphine fumigation are principal controls.</w:t>
      </w:r>
    </w:p>
    <w:p>
      <w:pPr>
        <w:pStyle w:val="Heading3"/>
        <w:spacing w:after="60" w:before="160"/>
      </w:pPr>
      <w:r>
        <w:rPr>
          <w:rFonts w:ascii="Calibri" w:cs="Calibri" w:eastAsia="Calibri" w:hAnsi="Calibri"/>
          <w:b/>
          <w:bCs/>
          <w:color w:val="1B1B1B"/>
          <w:sz w:val="23"/>
          <w:szCs w:val="23"/>
        </w:rPr>
        <w:t xml:space="preserve">The processing &amp; value-add landscape</w:t>
      </w:r>
    </w:p>
    <w:p>
      <w:pPr>
        <w:pStyle w:val="ListParagraph"/>
        <w:numPr>
          <w:ilvl w:val="0"/>
          <w:numId w:val="2"/>
        </w:numPr>
        <w:spacing w:after="80" w:line="290"/>
      </w:pPr>
      <w:r>
        <w:rPr>
          <w:rFonts w:ascii="Calibri" w:cs="Calibri" w:eastAsia="Calibri" w:hAnsi="Calibri"/>
          <w:b/>
          <w:bCs/>
          <w:color w:val="1B1B1B"/>
          <w:sz w:val="22"/>
          <w:szCs w:val="22"/>
        </w:rPr>
        <w:t xml:space="preserve">Oil extraction (the dominant industrial channel): </w:t>
      </w:r>
      <w:r>
        <w:rPr>
          <w:rFonts w:ascii="Calibri" w:cs="Calibri" w:eastAsia="Calibri" w:hAnsi="Calibri"/>
          <w:color w:val="1B1B1B"/>
          <w:sz w:val="22"/>
          <w:szCs w:val="22"/>
        </w:rPr>
        <w:t xml:space="preserve">Solvent extraction at commercial mill scale; oil yield typically 40–45% of seed weight. Cold-pressed castor oil for premium pharmaceutical and cosmetic applications; commercial-grade castor oil for industrial applications. Specialised infrastructure separated from food-grade operations.</w:t>
      </w:r>
    </w:p>
    <w:p>
      <w:pPr>
        <w:pStyle w:val="ListParagraph"/>
        <w:numPr>
          <w:ilvl w:val="0"/>
          <w:numId w:val="2"/>
        </w:numPr>
        <w:spacing w:after="80" w:line="290"/>
      </w:pPr>
      <w:r>
        <w:rPr>
          <w:rFonts w:ascii="Calibri" w:cs="Calibri" w:eastAsia="Calibri" w:hAnsi="Calibri"/>
          <w:b/>
          <w:bCs/>
          <w:color w:val="1B1B1B"/>
          <w:sz w:val="22"/>
          <w:szCs w:val="22"/>
        </w:rPr>
        <w:t xml:space="preserve">Cake detoxification (the safety discipline): </w:t>
      </w:r>
      <w:r>
        <w:rPr>
          <w:rFonts w:ascii="Calibri" w:cs="Calibri" w:eastAsia="Calibri" w:hAnsi="Calibri"/>
          <w:color w:val="1B1B1B"/>
          <w:sz w:val="22"/>
          <w:szCs w:val="22"/>
        </w:rPr>
        <w:t xml:space="preserve">Post-extraction castor cake contains ricin and must be detoxified through heat treatment (typically 100°C+ for 1–2 hours) before any livestock-feed use; detoxified cake provides a high-protein (35–40%) feed input but with strict inclusion-rate limits and ongoing toxicity monitoring.</w:t>
      </w:r>
    </w:p>
    <w:p>
      <w:pPr>
        <w:pStyle w:val="ListParagraph"/>
        <w:numPr>
          <w:ilvl w:val="0"/>
          <w:numId w:val="2"/>
        </w:numPr>
        <w:spacing w:after="80" w:line="290"/>
      </w:pPr>
      <w:r>
        <w:rPr>
          <w:rFonts w:ascii="Calibri" w:cs="Calibri" w:eastAsia="Calibri" w:hAnsi="Calibri"/>
          <w:b/>
          <w:bCs/>
          <w:color w:val="1B1B1B"/>
          <w:sz w:val="22"/>
          <w:szCs w:val="22"/>
        </w:rPr>
        <w:t xml:space="preserve">Industrial applications (the dominant commercial channel): </w:t>
      </w:r>
      <w:r>
        <w:rPr>
          <w:rFonts w:ascii="Calibri" w:cs="Calibri" w:eastAsia="Calibri" w:hAnsi="Calibri"/>
          <w:color w:val="1B1B1B"/>
          <w:sz w:val="22"/>
          <w:szCs w:val="22"/>
        </w:rPr>
        <w:t xml:space="preserve">Castor oil derivatives: hydrogenated castor oil (industrial lubricants); sebacic acid (nylon precursor); ricinoleic acid (specialty chemicals); 12-hydroxystearic acid (greases). Major buyers: international industrial chemical companies; pharmaceutical manufacturers; cosmetic ingredient suppliers.</w:t>
      </w:r>
    </w:p>
    <w:p>
      <w:pPr>
        <w:pStyle w:val="ListParagraph"/>
        <w:numPr>
          <w:ilvl w:val="0"/>
          <w:numId w:val="2"/>
        </w:numPr>
        <w:spacing w:after="80" w:line="290"/>
      </w:pPr>
      <w:r>
        <w:rPr>
          <w:rFonts w:ascii="Calibri" w:cs="Calibri" w:eastAsia="Calibri" w:hAnsi="Calibri"/>
          <w:b/>
          <w:bCs/>
          <w:color w:val="1B1B1B"/>
          <w:sz w:val="22"/>
          <w:szCs w:val="22"/>
        </w:rPr>
        <w:t xml:space="preserve">Pharmaceutical and cosmetic applications: </w:t>
      </w:r>
      <w:r>
        <w:rPr>
          <w:rFonts w:ascii="Calibri" w:cs="Calibri" w:eastAsia="Calibri" w:hAnsi="Calibri"/>
          <w:color w:val="1B1B1B"/>
          <w:sz w:val="22"/>
          <w:szCs w:val="22"/>
        </w:rPr>
        <w:t xml:space="preserve">Pharmaceutical-grade castor oil for medical applications (laxative, ricinoleic acid in topical formulations); cosmetic-grade castor oil for hair-care, skin-care, and lip-gloss formulations. Premium pricing relative to industrial-grade.</w:t>
      </w:r>
    </w:p>
    <w:p>
      <w:pPr>
        <w:pStyle w:val="ListParagraph"/>
        <w:numPr>
          <w:ilvl w:val="0"/>
          <w:numId w:val="2"/>
        </w:numPr>
        <w:spacing w:after="80" w:line="290"/>
      </w:pPr>
      <w:r>
        <w:rPr>
          <w:rFonts w:ascii="Calibri" w:cs="Calibri" w:eastAsia="Calibri" w:hAnsi="Calibri"/>
          <w:b/>
          <w:bCs/>
          <w:color w:val="1B1B1B"/>
          <w:sz w:val="22"/>
          <w:szCs w:val="22"/>
        </w:rPr>
        <w:t xml:space="preserve">Biofuel applications (emerging): </w:t>
      </w:r>
      <w:r>
        <w:rPr>
          <w:rFonts w:ascii="Calibri" w:cs="Calibri" w:eastAsia="Calibri" w:hAnsi="Calibri"/>
          <w:color w:val="1B1B1B"/>
          <w:sz w:val="22"/>
          <w:szCs w:val="22"/>
        </w:rPr>
        <w:t xml:space="preserve">Castor oil for biodiesel production with structural fit for industrial and aviation biofuel applications; emerging regional pilot programmes through 2024–2026.</w:t>
      </w:r>
    </w:p>
    <w:p>
      <w:pPr>
        <w:pStyle w:val="ListParagraph"/>
        <w:numPr>
          <w:ilvl w:val="0"/>
          <w:numId w:val="2"/>
        </w:numPr>
        <w:spacing w:after="80" w:line="290"/>
      </w:pPr>
      <w:r>
        <w:rPr>
          <w:rFonts w:ascii="Calibri" w:cs="Calibri" w:eastAsia="Calibri" w:hAnsi="Calibri"/>
          <w:b/>
          <w:bCs/>
          <w:color w:val="1B1B1B"/>
          <w:sz w:val="22"/>
          <w:szCs w:val="22"/>
        </w:rPr>
        <w:t xml:space="preserve">Specialty value-add: </w:t>
      </w:r>
      <w:r>
        <w:rPr>
          <w:rFonts w:ascii="Calibri" w:cs="Calibri" w:eastAsia="Calibri" w:hAnsi="Calibri"/>
          <w:color w:val="1B1B1B"/>
          <w:sz w:val="22"/>
          <w:szCs w:val="22"/>
        </w:rPr>
        <w:t xml:space="preserve">Cold-pressed pharmaceutical-grade castor oil; organic-certified castor oil for premium cosmetic applications; emerging biodiesel pilot supply chains.</w:t>
      </w:r>
    </w:p>
    <w:p>
      <w:pPr>
        <w:pStyle w:val="Heading3"/>
        <w:spacing w:after="60" w:before="160"/>
      </w:pPr>
      <w:r>
        <w:rPr>
          <w:rFonts w:ascii="Calibri" w:cs="Calibri" w:eastAsia="Calibri" w:hAnsi="Calibri"/>
          <w:b/>
          <w:bCs/>
          <w:color w:val="1B1B1B"/>
          <w:sz w:val="23"/>
          <w:szCs w:val="23"/>
        </w:rPr>
        <w:t xml:space="preserve">Standards &amp; quality</w:t>
      </w:r>
    </w:p>
    <w:p>
      <w:pPr>
        <w:pStyle w:val="ListParagraph"/>
        <w:numPr>
          <w:ilvl w:val="0"/>
          <w:numId w:val="2"/>
        </w:numPr>
        <w:spacing w:after="80" w:line="290"/>
      </w:pPr>
      <w:r>
        <w:rPr>
          <w:rFonts w:ascii="Calibri" w:cs="Calibri" w:eastAsia="Calibri" w:hAnsi="Calibri"/>
          <w:color w:val="1B1B1B"/>
          <w:sz w:val="22"/>
          <w:szCs w:val="22"/>
        </w:rPr>
        <w:t xml:space="preserve">Moisture content: 9% maximum for safe storage.</w:t>
      </w:r>
    </w:p>
    <w:p>
      <w:pPr>
        <w:pStyle w:val="ListParagraph"/>
        <w:numPr>
          <w:ilvl w:val="0"/>
          <w:numId w:val="2"/>
        </w:numPr>
        <w:spacing w:after="80" w:line="290"/>
      </w:pPr>
      <w:r>
        <w:rPr>
          <w:rFonts w:ascii="Calibri" w:cs="Calibri" w:eastAsia="Calibri" w:hAnsi="Calibri"/>
          <w:color w:val="1B1B1B"/>
          <w:sz w:val="22"/>
          <w:szCs w:val="22"/>
        </w:rPr>
        <w:t xml:space="preserve">Foreign matter: typically maximum 1% for industrial-grade.</w:t>
      </w:r>
    </w:p>
    <w:p>
      <w:pPr>
        <w:pStyle w:val="ListParagraph"/>
        <w:numPr>
          <w:ilvl w:val="0"/>
          <w:numId w:val="2"/>
        </w:numPr>
        <w:spacing w:after="80" w:line="290"/>
      </w:pPr>
      <w:r>
        <w:rPr>
          <w:rFonts w:ascii="Calibri" w:cs="Calibri" w:eastAsia="Calibri" w:hAnsi="Calibri"/>
          <w:color w:val="1B1B1B"/>
          <w:sz w:val="22"/>
          <w:szCs w:val="22"/>
        </w:rPr>
        <w:t xml:space="preserve">Oil content: typically minimum 42% for premium-grade.</w:t>
      </w:r>
    </w:p>
    <w:p>
      <w:pPr>
        <w:pStyle w:val="ListParagraph"/>
        <w:numPr>
          <w:ilvl w:val="0"/>
          <w:numId w:val="2"/>
        </w:numPr>
        <w:spacing w:after="80" w:line="290"/>
      </w:pPr>
      <w:r>
        <w:rPr>
          <w:rFonts w:ascii="Calibri" w:cs="Calibri" w:eastAsia="Calibri" w:hAnsi="Calibri"/>
          <w:color w:val="1B1B1B"/>
          <w:sz w:val="22"/>
          <w:szCs w:val="22"/>
        </w:rPr>
        <w:t xml:space="preserve">Ricinoleic acid content: typically minimum 88% of fatty acid profile.</w:t>
      </w:r>
    </w:p>
    <w:p>
      <w:pPr>
        <w:pStyle w:val="ListParagraph"/>
        <w:numPr>
          <w:ilvl w:val="0"/>
          <w:numId w:val="2"/>
        </w:numPr>
        <w:spacing w:after="80" w:line="290"/>
      </w:pPr>
      <w:r>
        <w:rPr>
          <w:rFonts w:ascii="Calibri" w:cs="Calibri" w:eastAsia="Calibri" w:hAnsi="Calibri"/>
          <w:color w:val="1B1B1B"/>
          <w:sz w:val="22"/>
          <w:szCs w:val="22"/>
        </w:rPr>
        <w:t xml:space="preserve">Free fatty acid (FFA): typically maximum 2% for crude oil; tighter for refined pharmaceutical-grade.</w:t>
      </w:r>
    </w:p>
    <w:p>
      <w:pPr>
        <w:pStyle w:val="ListParagraph"/>
        <w:numPr>
          <w:ilvl w:val="0"/>
          <w:numId w:val="2"/>
        </w:numPr>
        <w:spacing w:after="80" w:line="290"/>
      </w:pPr>
      <w:r>
        <w:rPr>
          <w:rFonts w:ascii="Calibri" w:cs="Calibri" w:eastAsia="Calibri" w:hAnsi="Calibri"/>
          <w:color w:val="1B1B1B"/>
          <w:sz w:val="22"/>
          <w:szCs w:val="22"/>
        </w:rPr>
        <w:t xml:space="preserve">Detoxified cake: residual ricin below acceptable threshold (varies by feed-application standard).</w:t>
      </w:r>
    </w:p>
    <w:p>
      <w:pPr>
        <w:pStyle w:val="ListParagraph"/>
        <w:numPr>
          <w:ilvl w:val="0"/>
          <w:numId w:val="2"/>
        </w:numPr>
        <w:spacing w:after="80" w:line="290"/>
      </w:pPr>
      <w:r>
        <w:rPr>
          <w:rFonts w:ascii="Calibri" w:cs="Calibri" w:eastAsia="Calibri" w:hAnsi="Calibri"/>
          <w:color w:val="1B1B1B"/>
          <w:sz w:val="22"/>
          <w:szCs w:val="22"/>
        </w:rPr>
        <w:t xml:space="preserve">Certification: KEBS, TBS standards; pharmaceutical-grade requires GMP documentation; cosmetic-grade requires INCI registration.</w:t>
      </w:r>
    </w:p>
    <w:p>
      <w:pPr>
        <w:pStyle w:val="Heading3"/>
        <w:spacing w:after="60" w:before="160"/>
      </w:pPr>
      <w:r>
        <w:rPr>
          <w:rFonts w:ascii="Calibri" w:cs="Calibri" w:eastAsia="Calibri" w:hAnsi="Calibri"/>
          <w:b/>
          <w:bCs/>
          <w:color w:val="1B1B1B"/>
          <w:sz w:val="23"/>
          <w:szCs w:val="23"/>
        </w:rPr>
        <w:t xml:space="preserve">Where to source equipment, services, and processors</w:t>
      </w:r>
    </w:p>
    <w:p>
      <w:pPr>
        <w:pStyle w:val="ListParagraph"/>
        <w:numPr>
          <w:ilvl w:val="0"/>
          <w:numId w:val="2"/>
        </w:numPr>
        <w:spacing w:after="80" w:line="290"/>
      </w:pPr>
      <w:r>
        <w:rPr>
          <w:rFonts w:ascii="Calibri" w:cs="Calibri" w:eastAsia="Calibri" w:hAnsi="Calibri"/>
          <w:b/>
          <w:bCs/>
          <w:color w:val="2E7D32"/>
          <w:sz w:val="22"/>
          <w:szCs w:val="22"/>
        </w:rPr>
        <w:t xml:space="preserve">Kenya: </w:t>
      </w:r>
      <w:r>
        <w:rPr>
          <w:rFonts w:ascii="Calibri" w:cs="Calibri" w:eastAsia="Calibri" w:hAnsi="Calibri"/>
          <w:color w:val="1B1B1B"/>
          <w:sz w:val="22"/>
          <w:szCs w:val="22"/>
        </w:rPr>
        <w:t xml:space="preserve">Equipment: KALRO Katumani-linked networks (Eastern Kenya pilots); regional commercial mill suppliers. Processors: limited current commercial scale; emerging industrial-supply pilots.</w:t>
      </w:r>
    </w:p>
    <w:p>
      <w:pPr>
        <w:pStyle w:val="ListParagraph"/>
        <w:numPr>
          <w:ilvl w:val="0"/>
          <w:numId w:val="2"/>
        </w:numPr>
        <w:spacing w:after="80" w:line="290"/>
      </w:pPr>
      <w:r>
        <w:rPr>
          <w:rFonts w:ascii="Calibri" w:cs="Calibri" w:eastAsia="Calibri" w:hAnsi="Calibri"/>
          <w:b/>
          <w:bCs/>
          <w:color w:val="2E7D32"/>
          <w:sz w:val="22"/>
          <w:szCs w:val="22"/>
        </w:rPr>
        <w:t xml:space="preserve">Tanzania: </w:t>
      </w:r>
      <w:r>
        <w:rPr>
          <w:rFonts w:ascii="Calibri" w:cs="Calibri" w:eastAsia="Calibri" w:hAnsi="Calibri"/>
          <w:color w:val="1B1B1B"/>
          <w:sz w:val="22"/>
          <w:szCs w:val="22"/>
        </w:rPr>
        <w:t xml:space="preserve">Equipment: TARI-linked networks; regional commercial suppliers. Processors: limited commercial scale; emerging Coast and Lake Zone pilot supply chains; industrial-customer-driven aggregation networks.</w:t>
      </w:r>
    </w:p>
    <w:p>
      <w:pPr>
        <w:pStyle w:val="ListParagraph"/>
        <w:numPr>
          <w:ilvl w:val="0"/>
          <w:numId w:val="2"/>
        </w:numPr>
        <w:spacing w:after="80" w:line="290"/>
      </w:pPr>
      <w:r>
        <w:rPr>
          <w:rFonts w:ascii="Calibri" w:cs="Calibri" w:eastAsia="Calibri" w:hAnsi="Calibri"/>
          <w:b/>
          <w:bCs/>
          <w:color w:val="2E7D32"/>
          <w:sz w:val="22"/>
          <w:szCs w:val="22"/>
        </w:rPr>
        <w:t xml:space="preserve">Uganda: </w:t>
      </w:r>
      <w:r>
        <w:rPr>
          <w:rFonts w:ascii="Calibri" w:cs="Calibri" w:eastAsia="Calibri" w:hAnsi="Calibri"/>
          <w:color w:val="1B1B1B"/>
          <w:sz w:val="22"/>
          <w:szCs w:val="22"/>
        </w:rPr>
        <w:t xml:space="preserve">Equipment: regional suppliers. Processors: limited; pilot stage.</w:t>
      </w:r>
    </w:p>
    <w:p>
      <w:pPr>
        <w:pStyle w:val="ListParagraph"/>
        <w:numPr>
          <w:ilvl w:val="0"/>
          <w:numId w:val="2"/>
        </w:numPr>
        <w:spacing w:after="80" w:line="290"/>
      </w:pPr>
      <w:r>
        <w:rPr>
          <w:rFonts w:ascii="Calibri" w:cs="Calibri" w:eastAsia="Calibri" w:hAnsi="Calibri"/>
          <w:b/>
          <w:bCs/>
          <w:color w:val="2E7D32"/>
          <w:sz w:val="22"/>
          <w:szCs w:val="22"/>
        </w:rPr>
        <w:t xml:space="preserve">Rwanda: </w:t>
      </w:r>
      <w:r>
        <w:rPr>
          <w:rFonts w:ascii="Calibri" w:cs="Calibri" w:eastAsia="Calibri" w:hAnsi="Calibri"/>
          <w:color w:val="1B1B1B"/>
          <w:sz w:val="22"/>
          <w:szCs w:val="22"/>
        </w:rPr>
        <w:t xml:space="preserve">Pilot stage only.</w:t>
      </w:r>
    </w:p>
    <w:p>
      <w:pPr>
        <w:pStyle w:val="ListParagraph"/>
        <w:numPr>
          <w:ilvl w:val="0"/>
          <w:numId w:val="2"/>
        </w:numPr>
        <w:spacing w:after="80" w:line="290"/>
      </w:pPr>
      <w:r>
        <w:rPr>
          <w:rFonts w:ascii="Calibri" w:cs="Calibri" w:eastAsia="Calibri" w:hAnsi="Calibri"/>
          <w:b/>
          <w:bCs/>
          <w:color w:val="2E7D32"/>
          <w:sz w:val="22"/>
          <w:szCs w:val="22"/>
        </w:rPr>
        <w:t xml:space="preserve">Burundi: </w:t>
      </w:r>
      <w:r>
        <w:rPr>
          <w:rFonts w:ascii="Calibri" w:cs="Calibri" w:eastAsia="Calibri" w:hAnsi="Calibri"/>
          <w:color w:val="1B1B1B"/>
          <w:sz w:val="22"/>
          <w:szCs w:val="22"/>
        </w:rPr>
        <w:t xml:space="preserve">Pilot stage only.</w:t>
      </w:r>
    </w:p>
    <w:p>
      <w:pPr>
        <w:pStyle w:val="Heading3"/>
        <w:spacing w:after="60" w:before="160"/>
      </w:pPr>
      <w:r>
        <w:rPr>
          <w:rFonts w:ascii="Calibri" w:cs="Calibri" w:eastAsia="Calibri" w:hAnsi="Calibri"/>
          <w:b/>
          <w:bCs/>
          <w:color w:val="1B1B1B"/>
          <w:sz w:val="23"/>
          <w:szCs w:val="23"/>
        </w:rPr>
        <w:t xml:space="preserve">Bottom line</w:t>
      </w:r>
    </w:p>
    <w:p>
      <w:pPr>
        <w:spacing w:after="120" w:line="300"/>
      </w:pPr>
      <w:r>
        <w:rPr>
          <w:rFonts w:ascii="Calibri" w:cs="Calibri" w:eastAsia="Calibri" w:hAnsi="Calibri"/>
          <w:color w:val="1B1B1B"/>
          <w:sz w:val="22"/>
          <w:szCs w:val="22"/>
        </w:rPr>
        <w:t xml:space="preserve">Castor post-harvest is the regional industrial-oilseed-frontier category with structural commercial trajectory tied to global industrial demand, emerging biofuel applications, and pharmaceutical-and-cosmetic specialty markets. The safety-and-segregation discipline distinguishes castor processing infrastructure from food-grade oilseed operations and requires dedicated commercial investment.</w:t>
      </w:r>
    </w:p>
    <w:p>
      <w:pPr>
        <w:spacing w:after="120" w:line="300"/>
      </w:pPr>
      <w:r>
        <w:rPr>
          <w:rFonts w:ascii="Calibri" w:cs="Calibri" w:eastAsia="Calibri" w:hAnsi="Calibri"/>
          <w:color w:val="1B1B1B"/>
          <w:sz w:val="22"/>
          <w:szCs w:val="22"/>
        </w:rPr>
        <w:t xml:space="preserve">For pilot-stage castor producers in semi-arid regional zones, the actionable rule is contracted-supply participation with industrial-customer-affiliated aggregator networks; the safety discipline and the industrial-customer-specification rigor warrant the contract structure. For impact investors and commercial operators, castor represents one of the most under-developed regional industrial-oilseed opportunities with clear available global-demand absorption capacity — paralleling the regional croton-megalocarpus biofuel story documented in Series 2 Issue 17 of the Seed Series.</w:t>
      </w:r>
    </w:p>
    <w:p>
      <w:r>
        <w:br w:type="page"/>
      </w:r>
    </w:p>
    <w:p>
      <w:pPr>
        <w:pStyle w:val="Heading2"/>
        <w:spacing w:after="100" w:before="220"/>
      </w:pPr>
      <w:r>
        <w:rPr>
          <w:rFonts w:ascii="Calibri" w:cs="Calibri" w:eastAsia="Calibri" w:hAnsi="Calibri"/>
          <w:b/>
          <w:bCs/>
          <w:color w:val="2E7D32"/>
          <w:sz w:val="26"/>
          <w:szCs w:val="26"/>
        </w:rPr>
        <w:t xml:space="preserve">Cross-cutting recommendations</w:t>
      </w:r>
    </w:p>
    <w:p>
      <w:pPr>
        <w:pStyle w:val="ListParagraph"/>
        <w:numPr>
          <w:ilvl w:val="0"/>
          <w:numId w:val="2"/>
        </w:numPr>
        <w:spacing w:after="80" w:line="290"/>
      </w:pPr>
      <w:r>
        <w:rPr>
          <w:rFonts w:ascii="Calibri" w:cs="Calibri" w:eastAsia="Calibri" w:hAnsi="Calibri"/>
          <w:b/>
          <w:bCs/>
          <w:color w:val="2E7D32"/>
          <w:sz w:val="22"/>
          <w:szCs w:val="22"/>
        </w:rPr>
        <w:t xml:space="preserve">Scale sunflower production for cooking-oil import substitution. </w:t>
      </w:r>
      <w:r>
        <w:rPr>
          <w:rFonts w:ascii="Calibri" w:cs="Calibri" w:eastAsia="Calibri" w:hAnsi="Calibri"/>
          <w:color w:val="1B1B1B"/>
          <w:sz w:val="22"/>
          <w:szCs w:val="22"/>
        </w:rPr>
        <w:t xml:space="preserve">The crushing-and-refining infrastructure is in place; the contracted-grower commercial model is functional; the consumer demand is structural. Production expansion in Tanzania’s Singida-Dodoma-Manyara heartland, Uganda’s Eastern Region, and Kenya’s Mt Kenya highlands is the regional cooking-oil-deficit answer with the strongest available production-and-investment case.</w:t>
      </w:r>
    </w:p>
    <w:p>
      <w:pPr>
        <w:pStyle w:val="ListParagraph"/>
        <w:numPr>
          <w:ilvl w:val="0"/>
          <w:numId w:val="2"/>
        </w:numPr>
        <w:spacing w:after="80" w:line="290"/>
      </w:pPr>
      <w:r>
        <w:rPr>
          <w:rFonts w:ascii="Calibri" w:cs="Calibri" w:eastAsia="Calibri" w:hAnsi="Calibri"/>
          <w:b/>
          <w:bCs/>
          <w:color w:val="2E7D32"/>
          <w:sz w:val="22"/>
          <w:szCs w:val="22"/>
        </w:rPr>
        <w:t xml:space="preserve">Build the cooperative-grading layer for sesame export. </w:t>
      </w:r>
      <w:r>
        <w:rPr>
          <w:rFonts w:ascii="Calibri" w:cs="Calibri" w:eastAsia="Calibri" w:hAnsi="Calibri"/>
          <w:color w:val="1B1B1B"/>
          <w:sz w:val="22"/>
          <w:szCs w:val="22"/>
        </w:rPr>
        <w:t xml:space="preserve">The Japanese-buyer-discipline premium structurally rewards sorting-and-cleaning infrastructure that captures premium currently surrendered to mid-stream aggregators. AGCOT-cluster operations in Lindi-Mtwara, plus emerging cooperative networks across Coast, Manyara and Tabora regions, represent the strongest available commercial-development targets.</w:t>
      </w:r>
    </w:p>
    <w:p>
      <w:pPr>
        <w:pStyle w:val="ListParagraph"/>
        <w:numPr>
          <w:ilvl w:val="0"/>
          <w:numId w:val="2"/>
        </w:numPr>
        <w:spacing w:after="80" w:line="290"/>
      </w:pPr>
      <w:r>
        <w:rPr>
          <w:rFonts w:ascii="Calibri" w:cs="Calibri" w:eastAsia="Calibri" w:hAnsi="Calibri"/>
          <w:b/>
          <w:bCs/>
          <w:color w:val="2E7D32"/>
          <w:sz w:val="22"/>
          <w:szCs w:val="22"/>
        </w:rPr>
        <w:t xml:space="preserve">Invest in cold-pressed specialty oil capacity. </w:t>
      </w:r>
      <w:r>
        <w:rPr>
          <w:rFonts w:ascii="Calibri" w:cs="Calibri" w:eastAsia="Calibri" w:hAnsi="Calibri"/>
          <w:color w:val="1B1B1B"/>
          <w:sz w:val="22"/>
          <w:szCs w:val="22"/>
        </w:rPr>
        <w:t xml:space="preserve">Premium retail trajectory across sunflower, canola, sesame, linseed, and emerging crops rewards cold-pressed extra-virgin specialty operators. The premium-niche capacity is structurally under-developed relative to consumer demand growth; emerging artisan-and-cooperative operators have demonstrated commercial viability across Mt Kenya, Mt Kilimanjaro, and Lake Victoria-basin highland zones.</w:t>
      </w:r>
    </w:p>
    <w:p>
      <w:pPr>
        <w:pStyle w:val="ListParagraph"/>
        <w:numPr>
          <w:ilvl w:val="0"/>
          <w:numId w:val="2"/>
        </w:numPr>
        <w:spacing w:after="80" w:line="290"/>
      </w:pPr>
      <w:r>
        <w:rPr>
          <w:rFonts w:ascii="Calibri" w:cs="Calibri" w:eastAsia="Calibri" w:hAnsi="Calibri"/>
          <w:b/>
          <w:bCs/>
          <w:color w:val="2E7D32"/>
          <w:sz w:val="22"/>
          <w:szCs w:val="22"/>
        </w:rPr>
        <w:t xml:space="preserve">Maintain rigorous safety-and-segregation discipline for castor. </w:t>
      </w:r>
      <w:r>
        <w:rPr>
          <w:rFonts w:ascii="Calibri" w:cs="Calibri" w:eastAsia="Calibri" w:hAnsi="Calibri"/>
          <w:color w:val="1B1B1B"/>
          <w:sz w:val="22"/>
          <w:szCs w:val="22"/>
        </w:rPr>
        <w:t xml:space="preserve">Castor processing infrastructure must remain segregated from food-grade oilseed operations; ricin-detoxification of post-extraction cake is non-negotiable; supply-chain documentation must clearly distinguish castor-line operations from food-line operations. Industrial-customer-driven contract participation provides the safest pathway for emerging regional castor producers.</w:t>
      </w:r>
    </w:p>
    <w:p>
      <w:pPr>
        <w:pStyle w:val="ListParagraph"/>
        <w:numPr>
          <w:ilvl w:val="0"/>
          <w:numId w:val="2"/>
        </w:numPr>
        <w:spacing w:after="80" w:line="290"/>
      </w:pPr>
      <w:r>
        <w:rPr>
          <w:rFonts w:ascii="Calibri" w:cs="Calibri" w:eastAsia="Calibri" w:hAnsi="Calibri"/>
          <w:b/>
          <w:bCs/>
          <w:color w:val="2E7D32"/>
          <w:sz w:val="22"/>
          <w:szCs w:val="22"/>
        </w:rPr>
        <w:t xml:space="preserve">Develop regional refining-and-retail-brand integration. </w:t>
      </w:r>
      <w:r>
        <w:rPr>
          <w:rFonts w:ascii="Calibri" w:cs="Calibri" w:eastAsia="Calibri" w:hAnsi="Calibri"/>
          <w:color w:val="1B1B1B"/>
          <w:sz w:val="22"/>
          <w:szCs w:val="22"/>
        </w:rPr>
        <w:t xml:space="preserve">The dominant regional retail oil brands (Bidco Cowboy / Salit / Salima; Mukwano Cooking Oil; Bakhresa Sun; Pwani Salit) are anchored by integrated crushing-refining-bottling operations. Smaller-scale operators capture less of the value chain; cooperative-and-medium-commercial integration with refining and brand operations is the available regional value-capture path.</w:t>
      </w:r>
    </w:p>
    <w:p>
      <w:pPr>
        <w:pBdr>
          <w:bottom w:val="single" w:color="79B93E" w:sz="6" w:space="1"/>
        </w:pBdr>
        <w:spacing w:after="60" w:before="60"/>
      </w:pPr>
      <w:r>
        <w:t xml:space="preserve"/>
      </w:r>
    </w:p>
    <w:p>
      <w:pPr>
        <w:pStyle w:val="Heading2"/>
        <w:spacing w:after="100" w:before="220"/>
      </w:pPr>
      <w:r>
        <w:rPr>
          <w:rFonts w:ascii="Calibri" w:cs="Calibri" w:eastAsia="Calibri" w:hAnsi="Calibri"/>
          <w:b/>
          <w:bCs/>
          <w:color w:val="2E7D32"/>
          <w:sz w:val="26"/>
          <w:szCs w:val="26"/>
        </w:rPr>
        <w:t xml:space="preserve">Editor’s note</w:t>
      </w:r>
    </w:p>
    <w:p>
      <w:pPr>
        <w:spacing w:after="120" w:line="300"/>
      </w:pPr>
      <w:r>
        <w:rPr>
          <w:rFonts w:ascii="Calibri" w:cs="Calibri" w:eastAsia="Calibri" w:hAnsi="Calibri"/>
          <w:color w:val="1B1B1B"/>
          <w:sz w:val="22"/>
          <w:szCs w:val="22"/>
        </w:rPr>
        <w:t xml:space="preserve">This Issue is the third of nine planned in Post-Harvest Series 1. Oilseed post-harvest infrastructure, equipment availability, processor commercial structures, and regulatory standards (particularly for castor industrial supply chains and emerging biofuel applications) all evolve year-by-year. Corrections, updates, and contemporary commercial-pilot information from extension officers, equipment suppliers, processors, exporters, cooperatives and growers are welcomed at editor@kilimokwanza.org.</w:t>
      </w:r>
    </w:p>
    <w:p>
      <w:pPr>
        <w:spacing w:after="120" w:line="300"/>
      </w:pPr>
      <w:r>
        <w:rPr>
          <w:rFonts w:ascii="Calibri" w:cs="Calibri" w:eastAsia="Calibri" w:hAnsi="Calibri"/>
          <w:color w:val="1B1B1B"/>
          <w:sz w:val="22"/>
          <w:szCs w:val="22"/>
        </w:rPr>
        <w:t xml:space="preserve">Coming next — Issue 4 • Cash Crops Post-Harvest: coffee (the regional commercial-export anchor), cocoa (Tanzanian and Ugandan emerging production), tea (the Kenyan-and-Rwandan auction-driven category), tobacco (contracted-grower discipline), pyrethrum (the Kenyan natural-insecticide specialty), and sugarcane. The crop category that carries the regional commercial-export-and-domestic-industrial value-chain story — with coffee washing-station economics, cocoa fermentation discipline, tea factory integration, and the structural premium-versus-commodity quality framework that defines all regional cash-crop post-harvest infrastructure.</w:t>
      </w:r>
    </w:p>
    <w:p>
      <w:pPr>
        <w:spacing w:after="120" w:line="300"/>
      </w:pPr>
      <w:r>
        <w:rPr>
          <w:rFonts w:ascii="Calibri" w:cs="Calibri" w:eastAsia="Calibri" w:hAnsi="Calibri"/>
          <w:i/>
          <w:iCs/>
          <w:color w:val="5F6263"/>
          <w:sz w:val="20"/>
          <w:szCs w:val="20"/>
        </w:rPr>
        <w:t xml:space="preserve">Compiled by the Kilimokwanza Editorial Desk  •  Series Editor: Anthony Muchoki  •  </w:t>
      </w:r>
      <w:r>
        <w:rPr>
          <w:rFonts w:ascii="Calibri" w:cs="Calibri" w:eastAsia="Calibri" w:hAnsi="Calibri"/>
          <w:b/>
          <w:bCs/>
          <w:i/>
          <w:iCs/>
          <w:color w:val="2E7D32"/>
          <w:sz w:val="20"/>
          <w:szCs w:val="20"/>
        </w:rPr>
        <w:t xml:space="preserve">kilimokwanza.org</w:t>
      </w:r>
    </w:p>
    <w:sectPr>
      <w:headerReference w:type="default" r:id="rId7"/>
      <w:footerReference w:type="default" r:id="rId8"/>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79B93E" w:sz="6" w:space="4"/>
      </w:pBdr>
      <w:tabs>
        <w:tab w:val="center" w:pos="4680"/>
        <w:tab w:val="right" w:pos="9026"/>
      </w:tabs>
    </w:pPr>
    <w:r>
      <w:rPr>
        <w:rFonts w:ascii="Calibri" w:cs="Calibri" w:eastAsia="Calibri" w:hAnsi="Calibri"/>
        <w:color w:val="5F6263"/>
        <w:sz w:val="18"/>
        <w:szCs w:val="18"/>
      </w:rPr>
      <w:t xml:space="preserve">© 2026 Kilimokwanza.org</w:t>
    </w:r>
    <w:r>
      <w:t xml:space="preserve">	</w:t>
    </w:r>
    <w:r>
      <w:rPr>
        <w:rFonts w:ascii="Calibri" w:cs="Calibri" w:eastAsia="Calibri" w:hAnsi="Calibri"/>
        <w:i/>
        <w:iCs/>
        <w:color w:val="5F6263"/>
        <w:sz w:val="18"/>
        <w:szCs w:val="18"/>
      </w:rPr>
      <w:t xml:space="preserve">Oilseeds Post-Harvest  •  East Africa</w:t>
    </w:r>
    <w:r>
      <w:t xml:space="preserve">	</w:t>
    </w:r>
    <w:r>
      <w:rPr>
        <w:rFonts w:ascii="Calibri" w:cs="Calibri" w:eastAsia="Calibri" w:hAnsi="Calibri"/>
        <w:color w:val="5F6263"/>
        <w:sz w:val="18"/>
        <w:szCs w:val="18"/>
      </w:rPr>
      <w:t xml:space="preserve">Page </w:t>
    </w:r>
    <w:r>
      <w:rPr>
        <w:rFonts w:ascii="Calibri" w:cs="Calibri" w:eastAsia="Calibri" w:hAnsi="Calibri"/>
        <w:color w:val="5F6263"/>
        <w:sz w:val="18"/>
        <w:szCs w:val="18"/>
      </w:rPr>
      <w:fldChar w:fldCharType="begin"/>
      <w:instrText xml:space="preserve">PAGE</w:instrText>
      <w:fldChar w:fldCharType="separate"/>
      <w:fldChar w:fldCharType="end"/>
    </w:r>
    <w:r>
      <w:rPr>
        <w:rFonts w:ascii="Calibri" w:cs="Calibri" w:eastAsia="Calibri" w:hAnsi="Calibri"/>
        <w:color w:val="5F6263"/>
        <w:sz w:val="18"/>
        <w:szCs w:val="18"/>
      </w:rPr>
      <w:t xml:space="preserve"> of </w:t>
    </w:r>
    <w:r>
      <w:rPr>
        <w:rFonts w:ascii="Calibri" w:cs="Calibri" w:eastAsia="Calibri" w:hAnsi="Calibri"/>
        <w:color w:val="5F6263"/>
        <w:sz w:val="18"/>
        <w:szCs w:val="18"/>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79B93E" w:sz="6" w:space="4"/>
      </w:pBdr>
      <w:tabs>
        <w:tab w:val="right" w:pos="9026"/>
      </w:tabs>
      <w:spacing w:after="60"/>
    </w:pPr>
    <w:r>
      <w:rPr>
        <w:rFonts w:ascii="Calibri" w:cs="Calibri" w:eastAsia="Calibri" w:hAnsi="Calibri"/>
        <w:b/>
        <w:bCs/>
        <w:color w:val="2E7D32"/>
        <w:spacing w:val="40"/>
        <w:sz w:val="22"/>
        <w:szCs w:val="22"/>
      </w:rPr>
      <w:t xml:space="preserve">KILIMOKWANZA</w:t>
    </w:r>
    <w:r>
      <w:rPr>
        <w:rFonts w:ascii="Calibri" w:cs="Calibri" w:eastAsia="Calibri" w:hAnsi="Calibri"/>
        <w:color w:val="5F6263"/>
        <w:sz w:val="18"/>
        <w:szCs w:val="18"/>
      </w:rPr>
      <w:t xml:space="preserve">  |  Agriculture &amp; Agribusiness, East Africa</w:t>
    </w:r>
    <w:r>
      <w:t xml:space="preserve">	</w:t>
    </w:r>
    <w:r>
      <w:rPr>
        <w:rFonts w:ascii="Calibri" w:cs="Calibri" w:eastAsia="Calibri" w:hAnsi="Calibri"/>
        <w:i/>
        <w:iCs/>
        <w:color w:val="5F6263"/>
        <w:sz w:val="18"/>
        <w:szCs w:val="18"/>
      </w:rPr>
      <w:t xml:space="preserve">Post-Harvest Series 1 / Issue 3  •  2026  •  Oilseeds</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rPr>
        <w:color w:val="79B93E"/>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60" w:before="240"/>
      <w:outlineLvl w:val="0"/>
    </w:pPr>
    <w:rPr>
      <w:rFonts w:ascii="Calibri" w:cs="Calibri" w:eastAsia="Calibri" w:hAnsi="Calibri"/>
      <w:b/>
      <w:bCs/>
      <w:color w:val="2E7D32"/>
      <w:sz w:val="32"/>
      <w:szCs w:val="32"/>
    </w:rPr>
  </w:style>
  <w:style w:type="paragraph" w:styleId="Heading2">
    <w:name w:val="Heading 2"/>
    <w:basedOn w:val="Normal"/>
    <w:next w:val="Normal"/>
    <w:qFormat/>
    <w:pPr>
      <w:spacing w:after="100" w:before="220"/>
      <w:outlineLvl w:val="1"/>
    </w:pPr>
    <w:rPr>
      <w:rFonts w:ascii="Calibri" w:cs="Calibri" w:eastAsia="Calibri" w:hAnsi="Calibri"/>
      <w:b/>
      <w:bCs/>
      <w:color w:val="2E7D32"/>
      <w:sz w:val="26"/>
      <w:szCs w:val="26"/>
    </w:rPr>
  </w:style>
  <w:style w:type="paragraph" w:styleId="Heading3">
    <w:name w:val="Heading 3"/>
    <w:basedOn w:val="Normal"/>
    <w:next w:val="Normal"/>
    <w:qFormat/>
    <w:pPr>
      <w:spacing w:after="60" w:before="160"/>
      <w:outlineLvl w:val="2"/>
    </w:pPr>
    <w:rPr>
      <w:rFonts w:ascii="Calibri" w:cs="Calibri" w:eastAsia="Calibri" w:hAnsi="Calibri"/>
      <w:b/>
      <w:bCs/>
      <w:color w:val="1B1B1B"/>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Post-Harvest Series 1 / Issue 3 — Oilseeds</dc:title>
  <dc:creator>Kilimokwanza.org</dc:creator>
  <dc:description>A post-harvest-and-processing infrastructure audit of the six oilseed crops most central to East African agriculture: sunflower, sesame, canola, cottonseed, linseed, castor.</dc:description>
  <cp:lastModifiedBy>Un-named</cp:lastModifiedBy>
  <cp:revision>1</cp:revision>
  <dcterms:created xsi:type="dcterms:W3CDTF">2026-05-03T07:44:17.661Z</dcterms:created>
  <dcterms:modified xsi:type="dcterms:W3CDTF">2026-05-03T07:44:17.677Z</dcterms:modified>
</cp:coreProperties>
</file>

<file path=docProps/custom.xml><?xml version="1.0" encoding="utf-8"?>
<Properties xmlns="http://schemas.openxmlformats.org/officeDocument/2006/custom-properties" xmlns:vt="http://schemas.openxmlformats.org/officeDocument/2006/docPropsVTypes"/>
</file>