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8"/>
              <w:right w:val="none" w:color="FFFFFF" w:sz="0"/>
            </w:tcBorders>
            <w:shd w:fill="2E7D32" w:val="clear"/>
            <w:tcMar>
              <w:top w:type="dxa" w:w="320"/>
              <w:left w:type="dxa" w:w="280"/>
              <w:bottom w:type="dxa" w:w="320"/>
              <w:right w:type="dxa" w:w="280"/>
            </w:tcMar>
          </w:tcPr>
          <w:p>
            <w:pPr>
              <w:spacing w:after="60"/>
            </w:pPr>
            <w:r>
              <w:rPr>
                <w:rFonts w:ascii="Calibri" w:cs="Calibri" w:eastAsia="Calibri" w:hAnsi="Calibri"/>
                <w:b/>
                <w:bCs/>
                <w:color w:val="FFFFFF"/>
                <w:spacing w:val="40"/>
                <w:sz w:val="18"/>
                <w:szCs w:val="18"/>
              </w:rPr>
              <w:t xml:space="preserve">POST-HARVEST SERIES  /  SERIES 1 / ISSUE 2  •  2026</w:t>
            </w:r>
          </w:p>
          <w:p>
            <w:pPr>
              <w:spacing w:after="80"/>
            </w:pPr>
            <w:r>
              <w:rPr>
                <w:rFonts w:ascii="Calibri" w:cs="Calibri" w:eastAsia="Calibri" w:hAnsi="Calibri"/>
                <w:b/>
                <w:bCs/>
                <w:color w:val="FFFFFF"/>
                <w:sz w:val="38"/>
                <w:szCs w:val="38"/>
              </w:rPr>
              <w:t xml:space="preserve">Legumes — Post-Harvest &amp; Processing</w:t>
            </w:r>
          </w:p>
          <w:p>
            <w:r>
              <w:rPr>
                <w:rFonts w:ascii="Calibri" w:cs="Calibri" w:eastAsia="Calibri" w:hAnsi="Calibri"/>
                <w:i/>
                <w:iCs/>
                <w:color w:val="FFFFFF"/>
                <w:sz w:val="24"/>
                <w:szCs w:val="24"/>
              </w:rPr>
              <w:t xml:space="preserve">The eight regional legumes that carry the protein-and-cash dual-purpose story — and the bruchid management discipline that decides whether their value reaches the market</w:t>
            </w:r>
          </w:p>
        </w:tc>
      </w:tr>
    </w:tbl>
    <w:p>
      <w:r>
        <w:t xml:space="preserve"/>
      </w:r>
    </w:p>
    <w:p>
      <w:pPr>
        <w:spacing w:after="120" w:line="300"/>
      </w:pPr>
      <w:r>
        <w:rPr>
          <w:rFonts w:ascii="Calibri" w:cs="Calibri" w:eastAsia="Calibri" w:hAnsi="Calibri"/>
          <w:color w:val="5F6263"/>
          <w:sz w:val="20"/>
          <w:szCs w:val="20"/>
        </w:rPr>
        <w:t xml:space="preserve">Published by </w:t>
      </w:r>
      <w:r>
        <w:rPr>
          <w:rFonts w:ascii="Calibri" w:cs="Calibri" w:eastAsia="Calibri" w:hAnsi="Calibri"/>
          <w:b/>
          <w:bCs/>
          <w:color w:val="2E7D32"/>
          <w:sz w:val="20"/>
          <w:szCs w:val="20"/>
        </w:rPr>
        <w:t xml:space="preserve">Kilimokwanza.org</w:t>
      </w:r>
      <w:r>
        <w:rPr>
          <w:rFonts w:ascii="Calibri" w:cs="Calibri" w:eastAsia="Calibri" w:hAnsi="Calibri"/>
          <w:color w:val="5F6263"/>
          <w:sz w:val="20"/>
          <w:szCs w:val="20"/>
        </w:rPr>
        <w:t xml:space="preserve">  |  Region: Kenya, Tanzania, Uganda, Rwanda, Burundi  |  Crops covered: Common beans, Soybeans, Groundnuts, Pigeon peas, Chickpeas, Cowpeas, Green grams, Lentils</w:t>
      </w:r>
    </w:p>
    <w:p>
      <w:pPr>
        <w:pBdr>
          <w:bottom w:val="single" w:color="79B93E" w:sz="6" w:space="1"/>
        </w:pBdr>
        <w:spacing w:after="60" w:before="60"/>
      </w:pPr>
      <w:r>
        <w:t xml:space="preserve"/>
      </w:r>
    </w:p>
    <w:p>
      <w:pPr>
        <w:pStyle w:val="Heading2"/>
        <w:spacing w:after="100" w:before="220"/>
      </w:pPr>
      <w:r>
        <w:rPr>
          <w:rFonts w:ascii="Calibri" w:cs="Calibri" w:eastAsia="Calibri" w:hAnsi="Calibri"/>
          <w:b/>
          <w:bCs/>
          <w:color w:val="2E7D32"/>
          <w:sz w:val="26"/>
          <w:szCs w:val="26"/>
        </w:rPr>
        <w:t xml:space="preserve">Editor’s introduction</w:t>
      </w:r>
    </w:p>
    <w:p>
      <w:pPr>
        <w:spacing w:after="120" w:line="300"/>
      </w:pPr>
      <w:r>
        <w:rPr>
          <w:rFonts w:ascii="Calibri" w:cs="Calibri" w:eastAsia="Calibri" w:hAnsi="Calibri"/>
          <w:color w:val="1B1B1B"/>
          <w:sz w:val="22"/>
          <w:szCs w:val="22"/>
        </w:rPr>
        <w:t xml:space="preserve">This Issue is the second instalment of the Kilimokwanza Post-Harvest &amp; Processing Series. Where Issue 1 (Cereals) anchored the foundational drying-and-storage discipline that defines all regional cereal economics, Issue 2 (Legumes) anchors the parallel discipline for the regional protein-and-cash crops: the bruchid-management question, plus the structural aflatoxin question that moves from maize (where Issue 1 anchored it) to groundnut (where this Issue anchors it, because groundnut aflatoxin vulnerability is dramatically more pronounced).</w:t>
      </w:r>
    </w:p>
    <w:p>
      <w:pPr>
        <w:spacing w:after="120" w:line="300"/>
      </w:pPr>
      <w:r>
        <w:rPr>
          <w:rFonts w:ascii="Calibri" w:cs="Calibri" w:eastAsia="Calibri" w:hAnsi="Calibri"/>
          <w:color w:val="1B1B1B"/>
          <w:sz w:val="22"/>
          <w:szCs w:val="22"/>
        </w:rPr>
        <w:t xml:space="preserve">This Issue covers the eight legume crops that anchored Seed Series Issue 3: common beans, soybeans, groundnuts, pigeon peas, chickpeas, cowpeas, green grams, and lentils. Each crop’s post-harvest story includes harvest timing, drying technology, storage systems (with hermetic adoption as the cross-cutting discipline), processing channels, quality-and-certification standards (with aflatoxin testing as the cross-cutting standard), and the regional commercial operators who anchor the value chain.</w:t>
      </w:r>
    </w:p>
    <w:p>
      <w:pPr>
        <w:spacing w:after="120" w:line="300"/>
      </w:pPr>
      <w:r>
        <w:rPr>
          <w:rFonts w:ascii="Calibri" w:cs="Calibri" w:eastAsia="Calibri" w:hAnsi="Calibri"/>
          <w:color w:val="1B1B1B"/>
          <w:sz w:val="22"/>
          <w:szCs w:val="22"/>
        </w:rPr>
        <w:t xml:space="preserve">Three structural through-lines connect the eight legumes. First, the bruchid weevil question — the post-harvest pest pressure that defines all stored-legume economics, with hermetic storage (PICS bags, originally developed for cowpea management in West Africa) as the foundational discipline. Second, the aflatoxin question — dramatically more consequential for groundnut than for any other regional legume, with PACA-affiliated regional testing infrastructure as the cross-cutting framework. Third, the contracted-aggregator commercial model — dominant for soybean (crushing-mill contracts), for pigeon pea (Indian-export aggregators), for chickpea (kabuli-and-desi export channels), and emerging for groundnut (export-grade-tested commercial supply chains).</w:t>
      </w:r>
    </w:p>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79B93E" w:sz="18"/>
              <w:left w:val="none" w:color="FFFFFF" w:sz="0"/>
              <w:bottom w:val="single" w:color="79B93E" w:sz="4"/>
              <w:right w:val="none" w:color="FFFFFF" w:sz="0"/>
            </w:tcBorders>
            <w:shd w:fill="E8F1E2" w:val="clear"/>
            <w:tcMar>
              <w:top w:type="dxa" w:w="200"/>
              <w:left w:type="dxa" w:w="280"/>
              <w:bottom w:type="dxa" w:w="200"/>
              <w:right w:type="dxa" w:w="280"/>
            </w:tcMar>
          </w:tcPr>
          <w:p>
            <w:pPr>
              <w:spacing w:after="100"/>
            </w:pPr>
            <w:r>
              <w:rPr>
                <w:rFonts w:ascii="Calibri" w:cs="Calibri" w:eastAsia="Calibri" w:hAnsi="Calibri"/>
                <w:b/>
                <w:bCs/>
                <w:color w:val="2E7D32"/>
                <w:spacing w:val="40"/>
                <w:sz w:val="18"/>
                <w:szCs w:val="18"/>
              </w:rPr>
              <w:t xml:space="preserve">THE BRUCHID QUESTION</w:t>
            </w:r>
          </w:p>
          <w:p>
            <w:pPr>
              <w:spacing w:after="100" w:line="290"/>
            </w:pPr>
            <w:r>
              <w:rPr>
                <w:rFonts w:ascii="Calibri" w:cs="Calibri" w:eastAsia="Calibri" w:hAnsi="Calibri"/>
                <w:color w:val="1B1B1B"/>
                <w:sz w:val="21"/>
                <w:szCs w:val="21"/>
              </w:rPr>
              <w:t xml:space="preserve">Stored-legume economics across East Africa are dominated by bruchid weevils. Five species drive most regional damage: Acanthoscelides obtectus (the bean weevil; principal common-bean pest); Zabrotes subfasciatus (the Mexican bean weevil; secondary common-bean pest); Callosobruchus maculatus (the cowpea weevil; principal cowpea pest); Callosobruchus chinensis (the chickpea weevil; pigeon-pea, chickpea, green-gram pest); and Caryedon serratus (the groundnut bruchid; minor in regional production but locally consequential).</w:t>
            </w:r>
          </w:p>
          <w:p>
            <w:pPr>
              <w:spacing w:after="100" w:line="290"/>
            </w:pPr>
            <w:r>
              <w:rPr>
                <w:rFonts w:ascii="Calibri" w:cs="Calibri" w:eastAsia="Calibri" w:hAnsi="Calibri"/>
                <w:color w:val="1B1B1B"/>
                <w:sz w:val="21"/>
                <w:szCs w:val="21"/>
              </w:rPr>
              <w:t xml:space="preserve">Bruchid biology decides the management strategy. Larvae develop entirely INSIDE the seed, where external insecticide dusts cannot reach them. Eggs are laid either pre-harvest (Acanthoscelides) or post-harvest (Zabrotes, Callosobruchus, Caryedon) on the seed surface. Once larvae hatch and bore into the seed, the damage is structural — split kernels, frass-filled internal cavities, complete grain destruction within 3–6 months under non-hermetic storage conditions.</w:t>
            </w:r>
          </w:p>
          <w:p>
            <w:pPr>
              <w:spacing w:after="100" w:line="290"/>
            </w:pPr>
            <w:r>
              <w:rPr>
                <w:rFonts w:ascii="Calibri" w:cs="Calibri" w:eastAsia="Calibri" w:hAnsi="Calibri"/>
                <w:color w:val="1B1B1B"/>
                <w:sz w:val="21"/>
                <w:szCs w:val="21"/>
              </w:rPr>
              <w:t xml:space="preserve">Hermetic storage is the regional answer. Reduced oxygen suppresses larval development; PICS bags (the triple-layer hermetic technology developed by Purdue University for West African cowpea management in the 1980s–1990s and scaled across Africa from approximately 2007 onwards through USAID and Bill &amp; Melinda Gates Foundation support) are the smallholder standard. Metal silos serve cooperative scale; commercial bulk silos with phosphine fumigation serve export aggregation.</w:t>
            </w:r>
          </w:p>
          <w:p>
            <w:pPr>
              <w:spacing w:after="0" w:line="290"/>
            </w:pPr>
            <w:r>
              <w:rPr>
                <w:rFonts w:ascii="Calibri" w:cs="Calibri" w:eastAsia="Calibri" w:hAnsi="Calibri"/>
                <w:color w:val="1B1B1B"/>
                <w:sz w:val="21"/>
                <w:szCs w:val="21"/>
              </w:rPr>
              <w:t xml:space="preserve">Traditional techniques are also documented effective at smallholder scale: clay-pot storage sealed with ash, vegetable-oil-coated grain (smallholder preservation method effective for cowpea, pigeon pea, green gram), and woven granaries with proper moisture management. The traditional knowledge complements rather than replaces modern hermetic infrastructure; the regional discipline integrates both.</w:t>
            </w:r>
          </w:p>
        </w:tc>
      </w:tr>
    </w:tbl>
    <w:p>
      <w:r>
        <w:t xml:space="preserve"/>
      </w:r>
    </w:p>
    <w:p>
      <w:pPr>
        <w:pStyle w:val="Heading2"/>
        <w:spacing w:after="100" w:before="220"/>
      </w:pPr>
      <w:r>
        <w:rPr>
          <w:rFonts w:ascii="Calibri" w:cs="Calibri" w:eastAsia="Calibri" w:hAnsi="Calibri"/>
          <w:b/>
          <w:bCs/>
          <w:color w:val="2E7D32"/>
          <w:sz w:val="26"/>
          <w:szCs w:val="26"/>
        </w:rPr>
        <w:t xml:space="preserve">The eight legumes at a glance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1500"/>
        <w:gridCol w:w="1500"/>
        <w:gridCol w:w="1500"/>
        <w:gridCol w:w="1620"/>
        <w:gridCol w:w="1740"/>
      </w:tblGrid>
      <w:tr>
        <w:trPr>
          <w:tblHeader/>
        </w:trPr>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Crop</w:t>
            </w:r>
          </w:p>
        </w:tc>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Loss range</w:t>
            </w:r>
          </w:p>
        </w:tc>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Drying target</w:t>
            </w:r>
          </w:p>
        </w:tc>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Storage</w:t>
            </w:r>
          </w:p>
        </w:tc>
        <w:tc>
          <w:tcPr>
            <w:tcW w:type="dxa" w:w="162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Primary processing</w:t>
            </w:r>
          </w:p>
        </w:tc>
        <w:tc>
          <w:tcPr>
            <w:tcW w:type="dxa" w:w="174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Lead market</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Common beans</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15–30%</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13–14%</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PICS, clay pots</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Sort and grade</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Regional staple + retail</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Soybeans</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10–20%</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13%</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Bulk silos</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Crushing, oil + meal</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Crushing mills (contracted)</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Groundnuts</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20–40%</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8–10%</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PICS (in-shell)</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Oil press, peanut butter</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Export + domestic processing</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Pigeon peas</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10–20%</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12–13%</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Bulk warehousing</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Sort and grade for export</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India dahl (Tanzania export)</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Chickpeas</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10–20%</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10–12%</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Bulk warehousing</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Sort and grade</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India + EU export (kabuli/desi)</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Cowpeas</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20–40%</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12–13%</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PICS (origin use-case)</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Sort and grade</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Drylands staple + emerging</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Green grams</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15–25%</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12–13%</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PICS, polypropylene</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Sort and grade</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India export + retail</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Lentils</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10–20%</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10–12%</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Polypropylene</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Sort, dahl emerging</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Import substitution</w:t>
            </w:r>
          </w:p>
        </w:tc>
      </w:tr>
    </w:tbl>
    <w:p>
      <w:r>
        <w:t xml:space="preserve"/>
      </w:r>
    </w:p>
    <w:p>
      <w:pPr>
        <w:spacing w:after="120" w:line="300"/>
      </w:pPr>
      <w:r>
        <w:rPr>
          <w:rFonts w:ascii="Calibri" w:cs="Calibri" w:eastAsia="Calibri" w:hAnsi="Calibri"/>
          <w:i/>
          <w:iCs/>
          <w:color w:val="5F6263"/>
          <w:sz w:val="20"/>
          <w:szCs w:val="20"/>
        </w:rPr>
        <w:t xml:space="preserve">Read across: </w:t>
      </w:r>
      <w:r>
        <w:rPr>
          <w:rFonts w:ascii="Calibri" w:cs="Calibri" w:eastAsia="Calibri" w:hAnsi="Calibri"/>
          <w:i/>
          <w:iCs/>
          <w:color w:val="5F6263"/>
          <w:sz w:val="20"/>
          <w:szCs w:val="20"/>
        </w:rPr>
        <w:t xml:space="preserve">the loss-range column tells the structural story. Cowpeas and groundnuts sit at 20–40% smallholder loss — the highest in the legume category, driven by bruchid pressure (cowpeas) and aflatoxin vulnerability (groundnuts) respectively. Common beans at 15–30%; soybeans/pigeon peas/chickpeas/lentils at 10–20% reflecting their predominantly contracted-commercial channels. The lead-market column anchors each crop’s commercial proposition: regional staple, contracted crushing, India dahl export, drylands smallholder, EU export, premium-niche.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01</w:t>
            </w:r>
          </w:p>
          <w:p>
            <w:pPr>
              <w:spacing w:after="40"/>
            </w:pPr>
            <w:r>
              <w:rPr>
                <w:rFonts w:ascii="Calibri" w:cs="Calibri" w:eastAsia="Calibri" w:hAnsi="Calibri"/>
                <w:b/>
                <w:bCs/>
                <w:color w:val="FFFFFF"/>
                <w:sz w:val="36"/>
                <w:szCs w:val="36"/>
              </w:rPr>
              <w:t xml:space="preserve">Common Beans</w:t>
            </w:r>
          </w:p>
          <w:p>
            <w:r>
              <w:rPr>
                <w:rFonts w:ascii="Calibri" w:cs="Calibri" w:eastAsia="Calibri" w:hAnsi="Calibri"/>
                <w:i/>
                <w:iCs/>
                <w:color w:val="FFFFFF"/>
                <w:sz w:val="20"/>
                <w:szCs w:val="20"/>
              </w:rPr>
              <w:t xml:space="preserve">Phaseolus vulgaris</w:t>
            </w:r>
            <w:r>
              <w:rPr>
                <w:rFonts w:ascii="Calibri" w:cs="Calibri" w:eastAsia="Calibri" w:hAnsi="Calibri"/>
                <w:color w:val="FFFFFF"/>
                <w:sz w:val="20"/>
                <w:szCs w:val="20"/>
              </w:rPr>
              <w:t xml:space="preserve">   •   Maharagwe (Sw)  •  Ibiharage (Ki)  •  The regional flagship legume</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LOSS RANGE</w:t>
            </w:r>
          </w:p>
          <w:p>
            <w:r>
              <w:rPr>
                <w:rFonts w:ascii="Calibri" w:cs="Calibri" w:eastAsia="Calibri" w:hAnsi="Calibri"/>
                <w:color w:val="1B1B1B"/>
                <w:sz w:val="20"/>
                <w:szCs w:val="20"/>
              </w:rPr>
              <w:t xml:space="preserve">15–30% post-harvest loss (smallholder); 5–10% (commercial-grade infrastructure)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DRYING TARGET</w:t>
            </w:r>
          </w:p>
          <w:p>
            <w:r>
              <w:rPr>
                <w:rFonts w:ascii="Calibri" w:cs="Calibri" w:eastAsia="Calibri" w:hAnsi="Calibri"/>
                <w:color w:val="1B1B1B"/>
                <w:sz w:val="20"/>
                <w:szCs w:val="20"/>
              </w:rPr>
              <w:t xml:space="preserve">13–14% moisture content for safe storage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STORAGE APPROACH</w:t>
            </w:r>
          </w:p>
          <w:p>
            <w:r>
              <w:rPr>
                <w:rFonts w:ascii="Calibri" w:cs="Calibri" w:eastAsia="Calibri" w:hAnsi="Calibri"/>
                <w:color w:val="1B1B1B"/>
                <w:sz w:val="20"/>
                <w:szCs w:val="20"/>
              </w:rPr>
              <w:t xml:space="preserve">PICS hermetic bags, polypropylene bags, traditional clay pots; bulk silos for commercial</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Region-wide — TZ leads regional production and export, RW leads per-capita consumption, KE &amp; UG substantial, BI significant</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Common beans are the regional protein staple and the leading legume in both production volume and consumption value across East Africa. Annual regional production exceeds 3 million tonnes across Kenya, Tanzania, Uganda, Rwanda and Burundi, with Tanzania the regional production leader and Rwanda the per-capita consumption leader. The crop’s role in regional nutrition, household food security, and cooperative-and-commercial trade is structural rather than emerging.</w:t>
      </w:r>
    </w:p>
    <w:p>
      <w:pPr>
        <w:spacing w:after="120" w:line="300"/>
      </w:pPr>
      <w:r>
        <w:rPr>
          <w:rFonts w:ascii="Calibri" w:cs="Calibri" w:eastAsia="Calibri" w:hAnsi="Calibri"/>
          <w:color w:val="1B1B1B"/>
          <w:sz w:val="22"/>
          <w:szCs w:val="22"/>
        </w:rPr>
        <w:t xml:space="preserve">Bean post-harvest economics are dominated by two disciplines: bruchid weevil management (covered in the upfront pull-out box of this Issue) and market-class differentiation. Common beans trade in numerous distinct market classes — red kidney, navy, black, pinto, sugar bean, yellow bean, mottled types, climbing bean varieties — each with separate price points and end-market preferences. Sorting and grading by colour, size and uniformity is the central post-harvest value-capture step. Premium market-class sorted beans command 30–80% over mixed-class informal trade.</w:t>
      </w:r>
    </w:p>
    <w:p>
      <w:pPr>
        <w:pStyle w:val="Heading3"/>
        <w:spacing w:after="60" w:before="160"/>
      </w:pPr>
      <w:r>
        <w:rPr>
          <w:rFonts w:ascii="Calibri" w:cs="Calibri" w:eastAsia="Calibri" w:hAnsi="Calibri"/>
          <w:b/>
          <w:bCs/>
          <w:color w:val="1B1B1B"/>
          <w:sz w:val="23"/>
          <w:szCs w:val="23"/>
        </w:rPr>
        <w:t xml:space="preserve">The post-harvest landscape: harvest, drying, storage</w:t>
      </w:r>
    </w:p>
    <w:p>
      <w:pPr>
        <w:pStyle w:val="ListParagraph"/>
        <w:numPr>
          <w:ilvl w:val="0"/>
          <w:numId w:val="2"/>
        </w:numPr>
        <w:spacing w:after="80" w:line="290"/>
      </w:pPr>
      <w:r>
        <w:rPr>
          <w:rFonts w:ascii="Calibri" w:cs="Calibri" w:eastAsia="Calibri" w:hAnsi="Calibri"/>
          <w:b/>
          <w:bCs/>
          <w:color w:val="1B1B1B"/>
          <w:sz w:val="22"/>
          <w:szCs w:val="22"/>
        </w:rPr>
        <w:t xml:space="preserve">Harvest timing: </w:t>
      </w:r>
      <w:r>
        <w:rPr>
          <w:rFonts w:ascii="Calibri" w:cs="Calibri" w:eastAsia="Calibri" w:hAnsi="Calibri"/>
          <w:color w:val="1B1B1B"/>
          <w:sz w:val="22"/>
          <w:szCs w:val="22"/>
        </w:rPr>
        <w:t xml:space="preserve">Harvest at full pod maturity when 80–90% of pods are dry and rattling; delayed harvest invites weather-induced grain darkening and quality decline. Hand-harvested smallholder beans are typically left on the plant for 1–2 weeks of in-field drying before harvest.</w:t>
      </w:r>
    </w:p>
    <w:p>
      <w:pPr>
        <w:pStyle w:val="ListParagraph"/>
        <w:numPr>
          <w:ilvl w:val="0"/>
          <w:numId w:val="2"/>
        </w:numPr>
        <w:spacing w:after="80" w:line="290"/>
      </w:pPr>
      <w:r>
        <w:rPr>
          <w:rFonts w:ascii="Calibri" w:cs="Calibri" w:eastAsia="Calibri" w:hAnsi="Calibri"/>
          <w:b/>
          <w:bCs/>
          <w:color w:val="1B1B1B"/>
          <w:sz w:val="22"/>
          <w:szCs w:val="22"/>
        </w:rPr>
        <w:t xml:space="preserve">Threshing: </w:t>
      </w:r>
      <w:r>
        <w:rPr>
          <w:rFonts w:ascii="Calibri" w:cs="Calibri" w:eastAsia="Calibri" w:hAnsi="Calibri"/>
          <w:color w:val="1B1B1B"/>
          <w:sz w:val="22"/>
          <w:szCs w:val="22"/>
        </w:rPr>
        <w:t xml:space="preserve">Hand-threshing on tarps (smallholder); mechanical threshing at cooperative scale; combine harvesting at commercial scale (limited regional adoption). Threshing damage produces split and broken beans that lose premium-grade status.</w:t>
      </w:r>
    </w:p>
    <w:p>
      <w:pPr>
        <w:pStyle w:val="ListParagraph"/>
        <w:numPr>
          <w:ilvl w:val="0"/>
          <w:numId w:val="2"/>
        </w:numPr>
        <w:spacing w:after="80" w:line="290"/>
      </w:pPr>
      <w:r>
        <w:rPr>
          <w:rFonts w:ascii="Calibri" w:cs="Calibri" w:eastAsia="Calibri" w:hAnsi="Calibri"/>
          <w:b/>
          <w:bCs/>
          <w:color w:val="1B1B1B"/>
          <w:sz w:val="22"/>
          <w:szCs w:val="22"/>
        </w:rPr>
        <w:t xml:space="preserve">Drying: </w:t>
      </w:r>
      <w:r>
        <w:rPr>
          <w:rFonts w:ascii="Calibri" w:cs="Calibri" w:eastAsia="Calibri" w:hAnsi="Calibri"/>
          <w:color w:val="1B1B1B"/>
          <w:sz w:val="22"/>
          <w:szCs w:val="22"/>
        </w:rPr>
        <w:t xml:space="preserve">Sun-drying on tarps to 13–14% moisture; over-dry beans (below 12%) crack during handling and grade poorly; under-dry beans (above 15%) invite fungal growth and bruchid colonisation.</w:t>
      </w:r>
    </w:p>
    <w:p>
      <w:pPr>
        <w:pStyle w:val="ListParagraph"/>
        <w:numPr>
          <w:ilvl w:val="0"/>
          <w:numId w:val="2"/>
        </w:numPr>
        <w:spacing w:after="80" w:line="290"/>
      </w:pPr>
      <w:r>
        <w:rPr>
          <w:rFonts w:ascii="Calibri" w:cs="Calibri" w:eastAsia="Calibri" w:hAnsi="Calibri"/>
          <w:b/>
          <w:bCs/>
          <w:color w:val="1B1B1B"/>
          <w:sz w:val="22"/>
          <w:szCs w:val="22"/>
        </w:rPr>
        <w:t xml:space="preserve">Sorting and grading (the value-capture step): </w:t>
      </w:r>
      <w:r>
        <w:rPr>
          <w:rFonts w:ascii="Calibri" w:cs="Calibri" w:eastAsia="Calibri" w:hAnsi="Calibri"/>
          <w:color w:val="1B1B1B"/>
          <w:sz w:val="22"/>
          <w:szCs w:val="22"/>
        </w:rPr>
        <w:t xml:space="preserve">Hand-sorting by colour and size at smallholder scale; mechanical colour-sorters and gravity tables at cooperative and commercial scale. Premium uniform-class beans command structural price premium over mixed-class informal trade.</w:t>
      </w:r>
    </w:p>
    <w:p>
      <w:pPr>
        <w:pStyle w:val="ListParagraph"/>
        <w:numPr>
          <w:ilvl w:val="0"/>
          <w:numId w:val="2"/>
        </w:numPr>
        <w:spacing w:after="80" w:line="290"/>
      </w:pPr>
      <w:r>
        <w:rPr>
          <w:rFonts w:ascii="Calibri" w:cs="Calibri" w:eastAsia="Calibri" w:hAnsi="Calibri"/>
          <w:b/>
          <w:bCs/>
          <w:color w:val="1B1B1B"/>
          <w:sz w:val="22"/>
          <w:szCs w:val="22"/>
        </w:rPr>
        <w:t xml:space="preserve">Storage — hermetic: </w:t>
      </w:r>
      <w:r>
        <w:rPr>
          <w:rFonts w:ascii="Calibri" w:cs="Calibri" w:eastAsia="Calibri" w:hAnsi="Calibri"/>
          <w:color w:val="1B1B1B"/>
          <w:sz w:val="22"/>
          <w:szCs w:val="22"/>
        </w:rPr>
        <w:t xml:space="preserve">PICS bags and metal silos suppress bruchid weevil colonisation through oxygen depletion. The PICS bag was originally developed by Purdue University for cowpea bruchid management in West Africa before extending to common beans, maize and other regional storage applications.</w:t>
      </w:r>
    </w:p>
    <w:p>
      <w:pPr>
        <w:pStyle w:val="ListParagraph"/>
        <w:numPr>
          <w:ilvl w:val="0"/>
          <w:numId w:val="2"/>
        </w:numPr>
        <w:spacing w:after="80" w:line="290"/>
      </w:pPr>
      <w:r>
        <w:rPr>
          <w:rFonts w:ascii="Calibri" w:cs="Calibri" w:eastAsia="Calibri" w:hAnsi="Calibri"/>
          <w:b/>
          <w:bCs/>
          <w:color w:val="1B1B1B"/>
          <w:sz w:val="22"/>
          <w:szCs w:val="22"/>
        </w:rPr>
        <w:t xml:space="preserve">Storage — traditional: </w:t>
      </w:r>
      <w:r>
        <w:rPr>
          <w:rFonts w:ascii="Calibri" w:cs="Calibri" w:eastAsia="Calibri" w:hAnsi="Calibri"/>
          <w:color w:val="1B1B1B"/>
          <w:sz w:val="22"/>
          <w:szCs w:val="22"/>
        </w:rPr>
        <w:t xml:space="preserve">Clay pots sealed with ash and beeswax (a documented effective traditional bruchid management technique); woven granaries; polypropylene bags. Clay pot storage carries significant cultural and practical role in rural Rwanda and Burundi.</w:t>
      </w:r>
    </w:p>
    <w:p>
      <w:pPr>
        <w:pStyle w:val="ListParagraph"/>
        <w:numPr>
          <w:ilvl w:val="0"/>
          <w:numId w:val="2"/>
        </w:numPr>
        <w:spacing w:after="80" w:line="290"/>
      </w:pPr>
      <w:r>
        <w:rPr>
          <w:rFonts w:ascii="Calibri" w:cs="Calibri" w:eastAsia="Calibri" w:hAnsi="Calibri"/>
          <w:b/>
          <w:bCs/>
          <w:color w:val="1B1B1B"/>
          <w:sz w:val="22"/>
          <w:szCs w:val="22"/>
        </w:rPr>
        <w:t xml:space="preserve">Pest control: </w:t>
      </w:r>
      <w:r>
        <w:rPr>
          <w:rFonts w:ascii="Calibri" w:cs="Calibri" w:eastAsia="Calibri" w:hAnsi="Calibri"/>
          <w:color w:val="1B1B1B"/>
          <w:sz w:val="22"/>
          <w:szCs w:val="22"/>
        </w:rPr>
        <w:t xml:space="preserve">Bean weevil (Acanthoscelides obtectus); Mexican bean weevil (Zabrotes subfasciatus); confused flour beetle. Hermetic storage is the principal control; insecticide-treated bags supplement; ash and vegetable-oil traditional techniques are documented effective at smallholder scale.</w:t>
      </w:r>
    </w:p>
    <w:p>
      <w:pPr>
        <w:pStyle w:val="Heading3"/>
        <w:spacing w:after="60" w:before="160"/>
      </w:pPr>
      <w:r>
        <w:rPr>
          <w:rFonts w:ascii="Calibri" w:cs="Calibri" w:eastAsia="Calibri" w:hAnsi="Calibri"/>
          <w:b/>
          <w:bCs/>
          <w:color w:val="1B1B1B"/>
          <w:sz w:val="23"/>
          <w:szCs w:val="23"/>
        </w:rPr>
        <w:t xml:space="preserve">The processing &amp; value-add landscape</w:t>
      </w:r>
    </w:p>
    <w:p>
      <w:pPr>
        <w:pStyle w:val="ListParagraph"/>
        <w:numPr>
          <w:ilvl w:val="0"/>
          <w:numId w:val="2"/>
        </w:numPr>
        <w:spacing w:after="80" w:line="290"/>
      </w:pPr>
      <w:r>
        <w:rPr>
          <w:rFonts w:ascii="Calibri" w:cs="Calibri" w:eastAsia="Calibri" w:hAnsi="Calibri"/>
          <w:b/>
          <w:bCs/>
          <w:color w:val="1B1B1B"/>
          <w:sz w:val="22"/>
          <w:szCs w:val="22"/>
        </w:rPr>
        <w:t xml:space="preserve">Sorting, grading and bagging (the dominant commercial channel): </w:t>
      </w:r>
      <w:r>
        <w:rPr>
          <w:rFonts w:ascii="Calibri" w:cs="Calibri" w:eastAsia="Calibri" w:hAnsi="Calibri"/>
          <w:color w:val="1B1B1B"/>
          <w:sz w:val="22"/>
          <w:szCs w:val="22"/>
        </w:rPr>
        <w:t xml:space="preserve">Most regional bean trade moves as graded whole-bean retail product. Cooperative aggregation centres and commercial sorters (PABRA-affiliated networks; ETG; Olam; cooperative aggregators) anchor the value-capture infrastructure.</w:t>
      </w:r>
    </w:p>
    <w:p>
      <w:pPr>
        <w:pStyle w:val="ListParagraph"/>
        <w:numPr>
          <w:ilvl w:val="0"/>
          <w:numId w:val="2"/>
        </w:numPr>
        <w:spacing w:after="80" w:line="290"/>
      </w:pPr>
      <w:r>
        <w:rPr>
          <w:rFonts w:ascii="Calibri" w:cs="Calibri" w:eastAsia="Calibri" w:hAnsi="Calibri"/>
          <w:b/>
          <w:bCs/>
          <w:color w:val="1B1B1B"/>
          <w:sz w:val="22"/>
          <w:szCs w:val="22"/>
        </w:rPr>
        <w:t xml:space="preserve">Canning (the limited commercial channel): </w:t>
      </w:r>
      <w:r>
        <w:rPr>
          <w:rFonts w:ascii="Calibri" w:cs="Calibri" w:eastAsia="Calibri" w:hAnsi="Calibri"/>
          <w:color w:val="1B1B1B"/>
          <w:sz w:val="22"/>
          <w:szCs w:val="22"/>
        </w:rPr>
        <w:t xml:space="preserve">Limited regional canning industry relative to bean production volumes; some commercial canning operations in Kenya (Trufoods, Premier Foods canning); modest growth potential through 2024–2026.</w:t>
      </w:r>
    </w:p>
    <w:p>
      <w:pPr>
        <w:pStyle w:val="ListParagraph"/>
        <w:numPr>
          <w:ilvl w:val="0"/>
          <w:numId w:val="2"/>
        </w:numPr>
        <w:spacing w:after="80" w:line="290"/>
      </w:pPr>
      <w:r>
        <w:rPr>
          <w:rFonts w:ascii="Calibri" w:cs="Calibri" w:eastAsia="Calibri" w:hAnsi="Calibri"/>
          <w:b/>
          <w:bCs/>
          <w:color w:val="1B1B1B"/>
          <w:sz w:val="22"/>
          <w:szCs w:val="22"/>
        </w:rPr>
        <w:t xml:space="preserve">Bean flour and bean-based product lines: </w:t>
      </w:r>
      <w:r>
        <w:rPr>
          <w:rFonts w:ascii="Calibri" w:cs="Calibri" w:eastAsia="Calibri" w:hAnsi="Calibri"/>
          <w:color w:val="1B1B1B"/>
          <w:sz w:val="22"/>
          <w:szCs w:val="22"/>
        </w:rPr>
        <w:t xml:space="preserve">Emerging premium-niche regional commercial category: bean flour for fortified weaning food, bean-protein bars, bean-based meat substitute formulations. Limited current scale but rising trajectory.</w:t>
      </w:r>
    </w:p>
    <w:p>
      <w:pPr>
        <w:pStyle w:val="ListParagraph"/>
        <w:numPr>
          <w:ilvl w:val="0"/>
          <w:numId w:val="2"/>
        </w:numPr>
        <w:spacing w:after="80" w:line="290"/>
      </w:pPr>
      <w:r>
        <w:rPr>
          <w:rFonts w:ascii="Calibri" w:cs="Calibri" w:eastAsia="Calibri" w:hAnsi="Calibri"/>
          <w:b/>
          <w:bCs/>
          <w:color w:val="1B1B1B"/>
          <w:sz w:val="22"/>
          <w:szCs w:val="22"/>
        </w:rPr>
        <w:t xml:space="preserve">Pre-cooked dehydrated bean products: </w:t>
      </w:r>
      <w:r>
        <w:rPr>
          <w:rFonts w:ascii="Calibri" w:cs="Calibri" w:eastAsia="Calibri" w:hAnsi="Calibri"/>
          <w:color w:val="1B1B1B"/>
          <w:sz w:val="22"/>
          <w:szCs w:val="22"/>
        </w:rPr>
        <w:t xml:space="preserve">Premium-niche pre-cooked dehydrated beans (10-minute reconstitution time vs 90 minutes for raw beans) for urban convenience-food markets; some operators emerging in Kenya, Tanzania, Rwanda.</w:t>
      </w:r>
    </w:p>
    <w:p>
      <w:pPr>
        <w:pStyle w:val="ListParagraph"/>
        <w:numPr>
          <w:ilvl w:val="0"/>
          <w:numId w:val="2"/>
        </w:numPr>
        <w:spacing w:after="80" w:line="290"/>
      </w:pPr>
      <w:r>
        <w:rPr>
          <w:rFonts w:ascii="Calibri" w:cs="Calibri" w:eastAsia="Calibri" w:hAnsi="Calibri"/>
          <w:b/>
          <w:bCs/>
          <w:color w:val="1B1B1B"/>
          <w:sz w:val="22"/>
          <w:szCs w:val="22"/>
        </w:rPr>
        <w:t xml:space="preserve">Animal feed by-products: </w:t>
      </w:r>
      <w:r>
        <w:rPr>
          <w:rFonts w:ascii="Calibri" w:cs="Calibri" w:eastAsia="Calibri" w:hAnsi="Calibri"/>
          <w:color w:val="1B1B1B"/>
          <w:sz w:val="22"/>
          <w:szCs w:val="22"/>
        </w:rPr>
        <w:t xml:space="preserve">Bean haulm (post-threshing residue) as livestock fodder; broken and damaged beans as poultry feed input.</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Moisture content: 13.5% maximum for safe storage.</w:t>
      </w:r>
    </w:p>
    <w:p>
      <w:pPr>
        <w:pStyle w:val="ListParagraph"/>
        <w:numPr>
          <w:ilvl w:val="0"/>
          <w:numId w:val="2"/>
        </w:numPr>
        <w:spacing w:after="80" w:line="290"/>
      </w:pPr>
      <w:r>
        <w:rPr>
          <w:rFonts w:ascii="Calibri" w:cs="Calibri" w:eastAsia="Calibri" w:hAnsi="Calibri"/>
          <w:color w:val="1B1B1B"/>
          <w:sz w:val="22"/>
          <w:szCs w:val="22"/>
        </w:rPr>
        <w:t xml:space="preserve">Foreign matter: typically maximum 0.5% for premium grade; 1% for standard grade.</w:t>
      </w:r>
    </w:p>
    <w:p>
      <w:pPr>
        <w:pStyle w:val="ListParagraph"/>
        <w:numPr>
          <w:ilvl w:val="0"/>
          <w:numId w:val="2"/>
        </w:numPr>
        <w:spacing w:after="80" w:line="290"/>
      </w:pPr>
      <w:r>
        <w:rPr>
          <w:rFonts w:ascii="Calibri" w:cs="Calibri" w:eastAsia="Calibri" w:hAnsi="Calibri"/>
          <w:color w:val="1B1B1B"/>
          <w:sz w:val="22"/>
          <w:szCs w:val="22"/>
        </w:rPr>
        <w:t xml:space="preserve">Splits and broken beans: typically maximum 2–3% for premium grade; 5–8% for standard.</w:t>
      </w:r>
    </w:p>
    <w:p>
      <w:pPr>
        <w:pStyle w:val="ListParagraph"/>
        <w:numPr>
          <w:ilvl w:val="0"/>
          <w:numId w:val="2"/>
        </w:numPr>
        <w:spacing w:after="80" w:line="290"/>
      </w:pPr>
      <w:r>
        <w:rPr>
          <w:rFonts w:ascii="Calibri" w:cs="Calibri" w:eastAsia="Calibri" w:hAnsi="Calibri"/>
          <w:color w:val="1B1B1B"/>
          <w:sz w:val="22"/>
          <w:szCs w:val="22"/>
        </w:rPr>
        <w:t xml:space="preserve">Insect damage: typically maximum 1% for premium grade; 3% for standard.</w:t>
      </w:r>
    </w:p>
    <w:p>
      <w:pPr>
        <w:pStyle w:val="ListParagraph"/>
        <w:numPr>
          <w:ilvl w:val="0"/>
          <w:numId w:val="2"/>
        </w:numPr>
        <w:spacing w:after="80" w:line="290"/>
      </w:pPr>
      <w:r>
        <w:rPr>
          <w:rFonts w:ascii="Calibri" w:cs="Calibri" w:eastAsia="Calibri" w:hAnsi="Calibri"/>
          <w:color w:val="1B1B1B"/>
          <w:sz w:val="22"/>
          <w:szCs w:val="22"/>
        </w:rPr>
        <w:t xml:space="preserve">Class purity (single-class beans): typically minimum 95% for premium-grade single-variety classification.</w:t>
      </w:r>
    </w:p>
    <w:p>
      <w:pPr>
        <w:pStyle w:val="ListParagraph"/>
        <w:numPr>
          <w:ilvl w:val="0"/>
          <w:numId w:val="2"/>
        </w:numPr>
        <w:spacing w:after="80" w:line="290"/>
      </w:pPr>
      <w:r>
        <w:rPr>
          <w:rFonts w:ascii="Calibri" w:cs="Calibri" w:eastAsia="Calibri" w:hAnsi="Calibri"/>
          <w:color w:val="1B1B1B"/>
          <w:sz w:val="22"/>
          <w:szCs w:val="22"/>
        </w:rPr>
        <w:t xml:space="preserve">Certification: KEBS, TBS, UNBS, RSB, BBS standards apply; export-grade requires phytosanitary certification.</w:t>
      </w:r>
    </w:p>
    <w:p>
      <w:pPr>
        <w:pStyle w:val="Heading3"/>
        <w:spacing w:after="60" w:before="160"/>
      </w:pPr>
      <w:r>
        <w:rPr>
          <w:rFonts w:ascii="Calibri" w:cs="Calibri" w:eastAsia="Calibri" w:hAnsi="Calibri"/>
          <w:b/>
          <w:bCs/>
          <w:color w:val="1B1B1B"/>
          <w:sz w:val="23"/>
          <w:szCs w:val="23"/>
        </w:rPr>
        <w:t xml:space="preserve">Where to source equipment, services, and processors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Equipment: Davis &amp; Shirtliff; KALRO Katumani-linked supplier networks. Storage: PICS bag distributors; A to Z Textile Mills (metal silos). Processors and aggregators: Smart Logistics Solutions; cooperative-aggregator networks; Trufoods; Premier Foods canning; emerging premium-niche operators.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Equipment: TEMDO; TARI Selian-linked networks. Storage: PICS bag distributors via PABRA-affiliated networks; A to Z Textile Mills (Arusha). Aggregators: Export Trading Group (ETG — the regional aggregator anchor); Olam Tanzania; cooperative networks; Tanzania Pulses Network. AGCOT cluster operations carry significant bean post-harvest aggregation in Mbeya, Iringa, Mufindi.</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Equipment: NaCRRI Namulonge-linked supplier networks. Storage: PICS bag distributors. Aggregators: Mukwano; Aponye; ETG Uganda; cooperative networks across Western and Eastern regions.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Equipment: regional imports via Kigali. Storage: PICS bag distributors via RAB Rubona-linked networks. Aggregators: SARURA Commodities; cooperative networks across all five Provinces; Africa Improved Foods (AIF) bean-based product lines.</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Equipment: regional imports. Storage: PICS bag distributors via ISABU networks. Aggregators: cooperative networks; emerging private commercial aggregators.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Common beans are the regional legume foundation — production scale matched by consumption scale, structural commercial and household economic role, well-documented post-harvest discipline, functional regional aggregation infrastructure. The 15–30% smallholder loss rate is structural and reducible through hermetic storage adoption and cooperative-grade sorting infrastructure.</w:t>
      </w:r>
    </w:p>
    <w:p>
      <w:pPr>
        <w:spacing w:after="120" w:line="300"/>
      </w:pPr>
      <w:r>
        <w:rPr>
          <w:rFonts w:ascii="Calibri" w:cs="Calibri" w:eastAsia="Calibri" w:hAnsi="Calibri"/>
          <w:color w:val="1B1B1B"/>
          <w:sz w:val="22"/>
          <w:szCs w:val="22"/>
        </w:rPr>
        <w:t xml:space="preserve">For smallholder bean producers, the actionable rule is hermetic storage adoption (PICS bags or clay-pot traditional methods properly maintained) and participation in cooperative-aggregator networks for graded sale. For commercial processors and impact investors, the under-developed regional canning, dehydrated-bean, and bean-flour processing infrastructure represents one of the clearest available value-add commercial trajectories — adding 2–4x value to the same volume of underlying bean production.</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02</w:t>
            </w:r>
          </w:p>
          <w:p>
            <w:pPr>
              <w:spacing w:after="40"/>
            </w:pPr>
            <w:r>
              <w:rPr>
                <w:rFonts w:ascii="Calibri" w:cs="Calibri" w:eastAsia="Calibri" w:hAnsi="Calibri"/>
                <w:b/>
                <w:bCs/>
                <w:color w:val="FFFFFF"/>
                <w:sz w:val="36"/>
                <w:szCs w:val="36"/>
              </w:rPr>
              <w:t xml:space="preserve">Soybeans</w:t>
            </w:r>
          </w:p>
          <w:p>
            <w:r>
              <w:rPr>
                <w:rFonts w:ascii="Calibri" w:cs="Calibri" w:eastAsia="Calibri" w:hAnsi="Calibri"/>
                <w:i/>
                <w:iCs/>
                <w:color w:val="FFFFFF"/>
                <w:sz w:val="20"/>
                <w:szCs w:val="20"/>
              </w:rPr>
              <w:t xml:space="preserve">Glycine max</w:t>
            </w:r>
            <w:r>
              <w:rPr>
                <w:rFonts w:ascii="Calibri" w:cs="Calibri" w:eastAsia="Calibri" w:hAnsi="Calibri"/>
                <w:color w:val="FFFFFF"/>
                <w:sz w:val="20"/>
                <w:szCs w:val="20"/>
              </w:rPr>
              <w:t xml:space="preserve">   •   Soya (regional)  •  The contracted industrial protein crop</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LOSS RANGE</w:t>
            </w:r>
          </w:p>
          <w:p>
            <w:r>
              <w:rPr>
                <w:rFonts w:ascii="Calibri" w:cs="Calibri" w:eastAsia="Calibri" w:hAnsi="Calibri"/>
                <w:color w:val="1B1B1B"/>
                <w:sz w:val="20"/>
                <w:szCs w:val="20"/>
              </w:rPr>
              <w:t xml:space="preserve">10–20% post-harvest loss (smallholder); 3–7% (commercial-grade)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DRYING TARGET</w:t>
            </w:r>
          </w:p>
          <w:p>
            <w:r>
              <w:rPr>
                <w:rFonts w:ascii="Calibri" w:cs="Calibri" w:eastAsia="Calibri" w:hAnsi="Calibri"/>
                <w:color w:val="1B1B1B"/>
                <w:sz w:val="20"/>
                <w:szCs w:val="20"/>
              </w:rPr>
              <w:t xml:space="preserve">13% moisture content for safe storage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STORAGE APPROACH</w:t>
            </w:r>
          </w:p>
          <w:p>
            <w:r>
              <w:rPr>
                <w:rFonts w:ascii="Calibri" w:cs="Calibri" w:eastAsia="Calibri" w:hAnsi="Calibri"/>
                <w:color w:val="1B1B1B"/>
                <w:sz w:val="20"/>
                <w:szCs w:val="20"/>
              </w:rPr>
              <w:t xml:space="preserve">Bulk silos (commercial); polypropylene bags (smallholder); hermetic bags emerging</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Eastern UG (the regional production leader); Central &amp; Lake Zone TZ; Mt Kenya KE; minor RW; minor BI</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Soybeans occupy a distinctive position in regional legume economics: the contracted industrial protein crop. Unlike common beans (food-staple direct trade) or pigeon peas (export-aggregated commodity), soybeans move principally through structured contracted-grower programmes feeding the regional crushing-mill industry. The output is soybean oil (the cooking-oil retail market) and soybean meal (the principal regional poultry-and-aquaculture-feed protein input). Both end-products have structurally rising regional demand.</w:t>
      </w:r>
    </w:p>
    <w:p>
      <w:pPr>
        <w:spacing w:after="120" w:line="300"/>
      </w:pPr>
      <w:r>
        <w:rPr>
          <w:rFonts w:ascii="Calibri" w:cs="Calibri" w:eastAsia="Calibri" w:hAnsi="Calibri"/>
          <w:color w:val="1B1B1B"/>
          <w:sz w:val="22"/>
          <w:szCs w:val="22"/>
        </w:rPr>
        <w:t xml:space="preserve">Uganda is the regional production leader, anchored by Mukwano-contracted out-grower programmes in the Eastern Region. Tanzania production is expanding through Bidco-affiliated and AGCOT-cluster supported initiatives. Kenya production remains modest. The regional crushing capacity — Bidco Africa, Mukwano, Bakhresa, and several smaller operators — currently runs below capacity, drawing structurally on imported soybean meal alongside contracted domestic supply. The post-harvest infrastructure question is therefore tightly linked to the production-expansion question.</w:t>
      </w:r>
    </w:p>
    <w:p>
      <w:pPr>
        <w:pStyle w:val="Heading3"/>
        <w:spacing w:after="60" w:before="160"/>
      </w:pPr>
      <w:r>
        <w:rPr>
          <w:rFonts w:ascii="Calibri" w:cs="Calibri" w:eastAsia="Calibri" w:hAnsi="Calibri"/>
          <w:b/>
          <w:bCs/>
          <w:color w:val="1B1B1B"/>
          <w:sz w:val="23"/>
          <w:szCs w:val="23"/>
        </w:rPr>
        <w:t xml:space="preserve">The post-harvest landscape: harvest, drying, storage</w:t>
      </w:r>
    </w:p>
    <w:p>
      <w:pPr>
        <w:pStyle w:val="ListParagraph"/>
        <w:numPr>
          <w:ilvl w:val="0"/>
          <w:numId w:val="2"/>
        </w:numPr>
        <w:spacing w:after="80" w:line="290"/>
      </w:pPr>
      <w:r>
        <w:rPr>
          <w:rFonts w:ascii="Calibri" w:cs="Calibri" w:eastAsia="Calibri" w:hAnsi="Calibri"/>
          <w:b/>
          <w:bCs/>
          <w:color w:val="1B1B1B"/>
          <w:sz w:val="22"/>
          <w:szCs w:val="22"/>
        </w:rPr>
        <w:t xml:space="preserve">Harvest timing: </w:t>
      </w:r>
      <w:r>
        <w:rPr>
          <w:rFonts w:ascii="Calibri" w:cs="Calibri" w:eastAsia="Calibri" w:hAnsi="Calibri"/>
          <w:color w:val="1B1B1B"/>
          <w:sz w:val="22"/>
          <w:szCs w:val="22"/>
        </w:rPr>
        <w:t xml:space="preserve">Harvest at full pod maturity when 90–95% of pods are dry; delayed harvest invites pod shattering and weather-induced grain quality decline. Combine harvesting is the commercial standard at scale; hand-harvesting at smallholder scale.</w:t>
      </w:r>
    </w:p>
    <w:p>
      <w:pPr>
        <w:pStyle w:val="ListParagraph"/>
        <w:numPr>
          <w:ilvl w:val="0"/>
          <w:numId w:val="2"/>
        </w:numPr>
        <w:spacing w:after="80" w:line="290"/>
      </w:pPr>
      <w:r>
        <w:rPr>
          <w:rFonts w:ascii="Calibri" w:cs="Calibri" w:eastAsia="Calibri" w:hAnsi="Calibri"/>
          <w:b/>
          <w:bCs/>
          <w:color w:val="1B1B1B"/>
          <w:sz w:val="22"/>
          <w:szCs w:val="22"/>
        </w:rPr>
        <w:t xml:space="preserve">Drying: </w:t>
      </w:r>
      <w:r>
        <w:rPr>
          <w:rFonts w:ascii="Calibri" w:cs="Calibri" w:eastAsia="Calibri" w:hAnsi="Calibri"/>
          <w:color w:val="1B1B1B"/>
          <w:sz w:val="22"/>
          <w:szCs w:val="22"/>
        </w:rPr>
        <w:t xml:space="preserve">Sun-drying or mechanical drying to 13% moisture for safe storage; over-dry soybeans (below 11%) crack during handling and lose oil-extraction yield.</w:t>
      </w:r>
    </w:p>
    <w:p>
      <w:pPr>
        <w:pStyle w:val="ListParagraph"/>
        <w:numPr>
          <w:ilvl w:val="0"/>
          <w:numId w:val="2"/>
        </w:numPr>
        <w:spacing w:after="80" w:line="290"/>
      </w:pPr>
      <w:r>
        <w:rPr>
          <w:rFonts w:ascii="Calibri" w:cs="Calibri" w:eastAsia="Calibri" w:hAnsi="Calibri"/>
          <w:b/>
          <w:bCs/>
          <w:color w:val="1B1B1B"/>
          <w:sz w:val="22"/>
          <w:szCs w:val="22"/>
        </w:rPr>
        <w:t xml:space="preserve">Threshing: </w:t>
      </w:r>
      <w:r>
        <w:rPr>
          <w:rFonts w:ascii="Calibri" w:cs="Calibri" w:eastAsia="Calibri" w:hAnsi="Calibri"/>
          <w:color w:val="1B1B1B"/>
          <w:sz w:val="22"/>
          <w:szCs w:val="22"/>
        </w:rPr>
        <w:t xml:space="preserve">Hand-threshing on tarps at smallholder scale; mechanical threshing at cooperative and commercial scale. Soybeans thresh more easily than common beans due to drier pods at maturity.</w:t>
      </w:r>
    </w:p>
    <w:p>
      <w:pPr>
        <w:pStyle w:val="ListParagraph"/>
        <w:numPr>
          <w:ilvl w:val="0"/>
          <w:numId w:val="2"/>
        </w:numPr>
        <w:spacing w:after="80" w:line="290"/>
      </w:pPr>
      <w:r>
        <w:rPr>
          <w:rFonts w:ascii="Calibri" w:cs="Calibri" w:eastAsia="Calibri" w:hAnsi="Calibri"/>
          <w:b/>
          <w:bCs/>
          <w:color w:val="1B1B1B"/>
          <w:sz w:val="22"/>
          <w:szCs w:val="22"/>
        </w:rPr>
        <w:t xml:space="preserve">Cleaning: </w:t>
      </w:r>
      <w:r>
        <w:rPr>
          <w:rFonts w:ascii="Calibri" w:cs="Calibri" w:eastAsia="Calibri" w:hAnsi="Calibri"/>
          <w:color w:val="1B1B1B"/>
          <w:sz w:val="22"/>
          <w:szCs w:val="22"/>
        </w:rPr>
        <w:t xml:space="preserve">Air-screen cleaners and rotary cleaners at commercial scale; hand-winnowing at smallholder scale. Crushing-grade specifications require minimal foreign matter and uniform grain size.</w:t>
      </w:r>
    </w:p>
    <w:p>
      <w:pPr>
        <w:pStyle w:val="ListParagraph"/>
        <w:numPr>
          <w:ilvl w:val="0"/>
          <w:numId w:val="2"/>
        </w:numPr>
        <w:spacing w:after="80" w:line="290"/>
      </w:pPr>
      <w:r>
        <w:rPr>
          <w:rFonts w:ascii="Calibri" w:cs="Calibri" w:eastAsia="Calibri" w:hAnsi="Calibri"/>
          <w:b/>
          <w:bCs/>
          <w:color w:val="1B1B1B"/>
          <w:sz w:val="22"/>
          <w:szCs w:val="22"/>
        </w:rPr>
        <w:t xml:space="preserve">Storage — commercial: </w:t>
      </w:r>
      <w:r>
        <w:rPr>
          <w:rFonts w:ascii="Calibri" w:cs="Calibri" w:eastAsia="Calibri" w:hAnsi="Calibri"/>
          <w:color w:val="1B1B1B"/>
          <w:sz w:val="22"/>
          <w:szCs w:val="22"/>
        </w:rPr>
        <w:t xml:space="preserve">Bulk silos at crushing-mill aggregation centres; integrated moisture and temperature monitoring; phosphine fumigation for long-term storage.</w:t>
      </w:r>
    </w:p>
    <w:p>
      <w:pPr>
        <w:pStyle w:val="ListParagraph"/>
        <w:numPr>
          <w:ilvl w:val="0"/>
          <w:numId w:val="2"/>
        </w:numPr>
        <w:spacing w:after="80" w:line="290"/>
      </w:pPr>
      <w:r>
        <w:rPr>
          <w:rFonts w:ascii="Calibri" w:cs="Calibri" w:eastAsia="Calibri" w:hAnsi="Calibri"/>
          <w:b/>
          <w:bCs/>
          <w:color w:val="1B1B1B"/>
          <w:sz w:val="22"/>
          <w:szCs w:val="22"/>
        </w:rPr>
        <w:t xml:space="preserve">Storage — smallholder: </w:t>
      </w:r>
      <w:r>
        <w:rPr>
          <w:rFonts w:ascii="Calibri" w:cs="Calibri" w:eastAsia="Calibri" w:hAnsi="Calibri"/>
          <w:color w:val="1B1B1B"/>
          <w:sz w:val="22"/>
          <w:szCs w:val="22"/>
        </w:rPr>
        <w:t xml:space="preserve">Polypropylene bags and emerging PICS bag adoption; soybeans store well at appropriate moisture levels with relatively low pest pressure compared to common beans.</w:t>
      </w:r>
    </w:p>
    <w:p>
      <w:pPr>
        <w:pStyle w:val="ListParagraph"/>
        <w:numPr>
          <w:ilvl w:val="0"/>
          <w:numId w:val="2"/>
        </w:numPr>
        <w:spacing w:after="80" w:line="290"/>
      </w:pPr>
      <w:r>
        <w:rPr>
          <w:rFonts w:ascii="Calibri" w:cs="Calibri" w:eastAsia="Calibri" w:hAnsi="Calibri"/>
          <w:b/>
          <w:bCs/>
          <w:color w:val="1B1B1B"/>
          <w:sz w:val="22"/>
          <w:szCs w:val="22"/>
        </w:rPr>
        <w:t xml:space="preserve">Pest control: </w:t>
      </w:r>
      <w:r>
        <w:rPr>
          <w:rFonts w:ascii="Calibri" w:cs="Calibri" w:eastAsia="Calibri" w:hAnsi="Calibri"/>
          <w:color w:val="1B1B1B"/>
          <w:sz w:val="22"/>
          <w:szCs w:val="22"/>
        </w:rPr>
        <w:t xml:space="preserve">Lower pest pressure than common beans and cowpeas; some weevil and grain moth pressure under poor storage conditions. Hermetic storage and turn-of-stock management are principal controls.</w:t>
      </w:r>
    </w:p>
    <w:p>
      <w:pPr>
        <w:pStyle w:val="Heading3"/>
        <w:spacing w:after="60" w:before="160"/>
      </w:pPr>
      <w:r>
        <w:rPr>
          <w:rFonts w:ascii="Calibri" w:cs="Calibri" w:eastAsia="Calibri" w:hAnsi="Calibri"/>
          <w:b/>
          <w:bCs/>
          <w:color w:val="1B1B1B"/>
          <w:sz w:val="23"/>
          <w:szCs w:val="23"/>
        </w:rPr>
        <w:t xml:space="preserve">The processing &amp; value-add landscape</w:t>
      </w:r>
    </w:p>
    <w:p>
      <w:pPr>
        <w:pStyle w:val="ListParagraph"/>
        <w:numPr>
          <w:ilvl w:val="0"/>
          <w:numId w:val="2"/>
        </w:numPr>
        <w:spacing w:after="80" w:line="290"/>
      </w:pPr>
      <w:r>
        <w:rPr>
          <w:rFonts w:ascii="Calibri" w:cs="Calibri" w:eastAsia="Calibri" w:hAnsi="Calibri"/>
          <w:b/>
          <w:bCs/>
          <w:color w:val="1B1B1B"/>
          <w:sz w:val="22"/>
          <w:szCs w:val="22"/>
        </w:rPr>
        <w:t xml:space="preserve">Crushing and oil extraction (the dominant commercial channel): </w:t>
      </w:r>
      <w:r>
        <w:rPr>
          <w:rFonts w:ascii="Calibri" w:cs="Calibri" w:eastAsia="Calibri" w:hAnsi="Calibri"/>
          <w:color w:val="1B1B1B"/>
          <w:sz w:val="22"/>
          <w:szCs w:val="22"/>
        </w:rPr>
        <w:t xml:space="preserve">Solvent extraction (hexane-based) at large commercial scale; expeller pressing at medium scale; combination expeller-solvent at premium operators. Oil yield 17–19% of soybean weight; meal residue 78–80%.</w:t>
      </w:r>
    </w:p>
    <w:p>
      <w:pPr>
        <w:pStyle w:val="ListParagraph"/>
        <w:numPr>
          <w:ilvl w:val="0"/>
          <w:numId w:val="2"/>
        </w:numPr>
        <w:spacing w:after="80" w:line="290"/>
      </w:pPr>
      <w:r>
        <w:rPr>
          <w:rFonts w:ascii="Calibri" w:cs="Calibri" w:eastAsia="Calibri" w:hAnsi="Calibri"/>
          <w:b/>
          <w:bCs/>
          <w:color w:val="1B1B1B"/>
          <w:sz w:val="22"/>
          <w:szCs w:val="22"/>
        </w:rPr>
        <w:t xml:space="preserve">Soybean oil refining: </w:t>
      </w:r>
      <w:r>
        <w:rPr>
          <w:rFonts w:ascii="Calibri" w:cs="Calibri" w:eastAsia="Calibri" w:hAnsi="Calibri"/>
          <w:color w:val="1B1B1B"/>
          <w:sz w:val="22"/>
          <w:szCs w:val="22"/>
        </w:rPr>
        <w:t xml:space="preserve">Crude soybean oil refining (degumming, neutralisation, bleaching, deodorisation) produces retail-grade cooking oil. Major regional brands: Mukwano (Uganda), Bidco Cooking Oil (regional), Bakhresa Sun cooking oil, Pwani Oil (Kenya minor).</w:t>
      </w:r>
    </w:p>
    <w:p>
      <w:pPr>
        <w:pStyle w:val="ListParagraph"/>
        <w:numPr>
          <w:ilvl w:val="0"/>
          <w:numId w:val="2"/>
        </w:numPr>
        <w:spacing w:after="80" w:line="290"/>
      </w:pPr>
      <w:r>
        <w:rPr>
          <w:rFonts w:ascii="Calibri" w:cs="Calibri" w:eastAsia="Calibri" w:hAnsi="Calibri"/>
          <w:b/>
          <w:bCs/>
          <w:color w:val="1B1B1B"/>
          <w:sz w:val="22"/>
          <w:szCs w:val="22"/>
        </w:rPr>
        <w:t xml:space="preserve">Soybean meal (the regional feed-protein anchor): </w:t>
      </w:r>
      <w:r>
        <w:rPr>
          <w:rFonts w:ascii="Calibri" w:cs="Calibri" w:eastAsia="Calibri" w:hAnsi="Calibri"/>
          <w:color w:val="1B1B1B"/>
          <w:sz w:val="22"/>
          <w:szCs w:val="22"/>
        </w:rPr>
        <w:t xml:space="preserve">Defatted soybean meal carries 44–48% protein, the principal regional poultry-and-aquaculture-feed protein input. Major buyers: Unga Feeds, Bidco Animal Feeds, Coopers Kenya, Zentech, Pembe Feeds, regional fish-feed operators.</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Soy milk, soy yoghurt, tofu, tempeh — emerging regional premium-niche markets; significant growth potential but currently small commercial scale. Premium organic and non-GMO certified soy specialty markets emerging.</w:t>
      </w:r>
    </w:p>
    <w:p>
      <w:pPr>
        <w:pStyle w:val="ListParagraph"/>
        <w:numPr>
          <w:ilvl w:val="0"/>
          <w:numId w:val="2"/>
        </w:numPr>
        <w:spacing w:after="80" w:line="290"/>
      </w:pPr>
      <w:r>
        <w:rPr>
          <w:rFonts w:ascii="Calibri" w:cs="Calibri" w:eastAsia="Calibri" w:hAnsi="Calibri"/>
          <w:b/>
          <w:bCs/>
          <w:color w:val="1B1B1B"/>
          <w:sz w:val="22"/>
          <w:szCs w:val="22"/>
        </w:rPr>
        <w:t xml:space="preserve">Soy flour and protein concentrate: </w:t>
      </w:r>
      <w:r>
        <w:rPr>
          <w:rFonts w:ascii="Calibri" w:cs="Calibri" w:eastAsia="Calibri" w:hAnsi="Calibri"/>
          <w:color w:val="1B1B1B"/>
          <w:sz w:val="22"/>
          <w:szCs w:val="22"/>
        </w:rPr>
        <w:t xml:space="preserve">Defatted soy flour for bakery and processed food applications; soy protein concentrate (70%+ protein) for premium nutrition product applications; limited current regional commercial scale.</w:t>
      </w:r>
    </w:p>
    <w:p>
      <w:pPr>
        <w:pStyle w:val="ListParagraph"/>
        <w:numPr>
          <w:ilvl w:val="0"/>
          <w:numId w:val="2"/>
        </w:numPr>
        <w:spacing w:after="80" w:line="290"/>
      </w:pPr>
      <w:r>
        <w:rPr>
          <w:rFonts w:ascii="Calibri" w:cs="Calibri" w:eastAsia="Calibri" w:hAnsi="Calibri"/>
          <w:b/>
          <w:bCs/>
          <w:color w:val="1B1B1B"/>
          <w:sz w:val="22"/>
          <w:szCs w:val="22"/>
        </w:rPr>
        <w:t xml:space="preserve">Industrial uses: </w:t>
      </w:r>
      <w:r>
        <w:rPr>
          <w:rFonts w:ascii="Calibri" w:cs="Calibri" w:eastAsia="Calibri" w:hAnsi="Calibri"/>
          <w:color w:val="1B1B1B"/>
          <w:sz w:val="22"/>
          <w:szCs w:val="22"/>
        </w:rPr>
        <w:t xml:space="preserve">Lecithin extraction (food emulsifier), soybean hulls (dairy fibre feed), soybean oil for industrial applications (paint, ink, biodiesel emerging).</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Moisture content: 13% maximum for safe storage; 12% for crushing-grade.</w:t>
      </w:r>
    </w:p>
    <w:p>
      <w:pPr>
        <w:pStyle w:val="ListParagraph"/>
        <w:numPr>
          <w:ilvl w:val="0"/>
          <w:numId w:val="2"/>
        </w:numPr>
        <w:spacing w:after="80" w:line="290"/>
      </w:pPr>
      <w:r>
        <w:rPr>
          <w:rFonts w:ascii="Calibri" w:cs="Calibri" w:eastAsia="Calibri" w:hAnsi="Calibri"/>
          <w:color w:val="1B1B1B"/>
          <w:sz w:val="22"/>
          <w:szCs w:val="22"/>
        </w:rPr>
        <w:t xml:space="preserve">Foreign matter: typically maximum 1–1.5% for crushing-grade.</w:t>
      </w:r>
    </w:p>
    <w:p>
      <w:pPr>
        <w:pStyle w:val="ListParagraph"/>
        <w:numPr>
          <w:ilvl w:val="0"/>
          <w:numId w:val="2"/>
        </w:numPr>
        <w:spacing w:after="80" w:line="290"/>
      </w:pPr>
      <w:r>
        <w:rPr>
          <w:rFonts w:ascii="Calibri" w:cs="Calibri" w:eastAsia="Calibri" w:hAnsi="Calibri"/>
          <w:color w:val="1B1B1B"/>
          <w:sz w:val="22"/>
          <w:szCs w:val="22"/>
        </w:rPr>
        <w:t xml:space="preserve">Damaged kernels: typically maximum 4–6% for crushing-grade.</w:t>
      </w:r>
    </w:p>
    <w:p>
      <w:pPr>
        <w:pStyle w:val="ListParagraph"/>
        <w:numPr>
          <w:ilvl w:val="0"/>
          <w:numId w:val="2"/>
        </w:numPr>
        <w:spacing w:after="80" w:line="290"/>
      </w:pPr>
      <w:r>
        <w:rPr>
          <w:rFonts w:ascii="Calibri" w:cs="Calibri" w:eastAsia="Calibri" w:hAnsi="Calibri"/>
          <w:color w:val="1B1B1B"/>
          <w:sz w:val="22"/>
          <w:szCs w:val="22"/>
        </w:rPr>
        <w:t xml:space="preserve">Oil content: typically minimum 18% for premium crushing-grade.</w:t>
      </w:r>
    </w:p>
    <w:p>
      <w:pPr>
        <w:pStyle w:val="ListParagraph"/>
        <w:numPr>
          <w:ilvl w:val="0"/>
          <w:numId w:val="2"/>
        </w:numPr>
        <w:spacing w:after="80" w:line="290"/>
      </w:pPr>
      <w:r>
        <w:rPr>
          <w:rFonts w:ascii="Calibri" w:cs="Calibri" w:eastAsia="Calibri" w:hAnsi="Calibri"/>
          <w:color w:val="1B1B1B"/>
          <w:sz w:val="22"/>
          <w:szCs w:val="22"/>
        </w:rPr>
        <w:t xml:space="preserve">Protein content: typically minimum 36% for premium crushing-grade.</w:t>
      </w:r>
    </w:p>
    <w:p>
      <w:pPr>
        <w:pStyle w:val="ListParagraph"/>
        <w:numPr>
          <w:ilvl w:val="0"/>
          <w:numId w:val="2"/>
        </w:numPr>
        <w:spacing w:after="80" w:line="290"/>
      </w:pPr>
      <w:r>
        <w:rPr>
          <w:rFonts w:ascii="Calibri" w:cs="Calibri" w:eastAsia="Calibri" w:hAnsi="Calibri"/>
          <w:color w:val="1B1B1B"/>
          <w:sz w:val="22"/>
          <w:szCs w:val="22"/>
        </w:rPr>
        <w:t xml:space="preserve">Aflatoxin total: typically below 10 ppb for human-consumption-grade.</w:t>
      </w:r>
    </w:p>
    <w:p>
      <w:pPr>
        <w:pStyle w:val="ListParagraph"/>
        <w:numPr>
          <w:ilvl w:val="0"/>
          <w:numId w:val="2"/>
        </w:numPr>
        <w:spacing w:after="80" w:line="290"/>
      </w:pPr>
      <w:r>
        <w:rPr>
          <w:rFonts w:ascii="Calibri" w:cs="Calibri" w:eastAsia="Calibri" w:hAnsi="Calibri"/>
          <w:color w:val="1B1B1B"/>
          <w:sz w:val="22"/>
          <w:szCs w:val="22"/>
        </w:rPr>
        <w:t xml:space="preserve">Certification: KEBS, TBS, UNBS, RSB, BBS standards; non-GMO certification for some specialty markets; ISO 22000 for premium processors.</w:t>
      </w:r>
    </w:p>
    <w:p>
      <w:pPr>
        <w:pStyle w:val="Heading3"/>
        <w:spacing w:after="60" w:before="160"/>
      </w:pPr>
      <w:r>
        <w:rPr>
          <w:rFonts w:ascii="Calibri" w:cs="Calibri" w:eastAsia="Calibri" w:hAnsi="Calibri"/>
          <w:b/>
          <w:bCs/>
          <w:color w:val="1B1B1B"/>
          <w:sz w:val="23"/>
          <w:szCs w:val="23"/>
        </w:rPr>
        <w:t xml:space="preserve">Where to source equipment, services, and processors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Equipment: Davis &amp; Shirtliff; private commercial mill suppliers. Crushing mills: Bidco Africa (the regional flagship); Pwani Oil (limited soybean crushing); Kapa Oil. Feed integrators: Unga Feeds; Bidco Animal Feeds; Coopers Kenya.</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Equipment: TEMDO; private commercial suppliers. Crushing mills: Bidco Tanzania; Bakhresa Group oil division; emerging Lake Zone operators. Feed integrators: Bakhresa Feeds; emerging cooperative-affiliated operators. AGCOT cluster operations support emerging soybean production in Mbeya and Iringa.</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Equipment: regional suppliers. Crushing mills: Mukwano (the regional production-and-crushing leader); BIDCO Uganda; emerging Eastern Region private operators. Feed integrators: Mukwano Animal Feeds; Ugachick.</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Equipment: regional imports. Crushing mills: limited current capacity; Africa Improved Foods (AIF) handles some soybean-based formulations. Feed integrators: emerging cooperative operators.</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Limited commercial soybean supply at scale; informal cooperative aggregation.</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Soybean post-harvest infrastructure operates within a tightly contracted commercial framework. The crushing-mill capacity is structurally under-supplied by domestic production; imports from Argentina, Brazil and the United States fill the regional deficit. Expanding domestic soybean production into structured contracted-grower networks is the available regional commercial-development opportunity.</w:t>
      </w:r>
    </w:p>
    <w:p>
      <w:pPr>
        <w:spacing w:after="120" w:line="300"/>
      </w:pPr>
      <w:r>
        <w:rPr>
          <w:rFonts w:ascii="Calibri" w:cs="Calibri" w:eastAsia="Calibri" w:hAnsi="Calibri"/>
          <w:color w:val="1B1B1B"/>
          <w:sz w:val="22"/>
          <w:szCs w:val="22"/>
        </w:rPr>
        <w:t xml:space="preserve">For contract-eligible smallholders in Eastern Uganda, Lake Zone Tanzania, AGCOT-corridor Tanzania, and Mt Kenya highlands, the actionable rule is contract participation with quality-graded protocol adherence. For commercial operators and impact investors, integrated production-and-crushing operations represent the structural value-capture path. For regional governments, soybean import substitution offers a clear available foreign-exchange-saving lever paralleling the wheat case (covered in Issue 1).</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03</w:t>
            </w:r>
          </w:p>
          <w:p>
            <w:pPr>
              <w:spacing w:after="40"/>
            </w:pPr>
            <w:r>
              <w:rPr>
                <w:rFonts w:ascii="Calibri" w:cs="Calibri" w:eastAsia="Calibri" w:hAnsi="Calibri"/>
                <w:b/>
                <w:bCs/>
                <w:color w:val="FFFFFF"/>
                <w:sz w:val="36"/>
                <w:szCs w:val="36"/>
              </w:rPr>
              <w:t xml:space="preserve">Groundnuts (Peanuts)</w:t>
            </w:r>
          </w:p>
          <w:p>
            <w:r>
              <w:rPr>
                <w:rFonts w:ascii="Calibri" w:cs="Calibri" w:eastAsia="Calibri" w:hAnsi="Calibri"/>
                <w:i/>
                <w:iCs/>
                <w:color w:val="FFFFFF"/>
                <w:sz w:val="20"/>
                <w:szCs w:val="20"/>
              </w:rPr>
              <w:t xml:space="preserve">Arachis hypogaea</w:t>
            </w:r>
            <w:r>
              <w:rPr>
                <w:rFonts w:ascii="Calibri" w:cs="Calibri" w:eastAsia="Calibri" w:hAnsi="Calibri"/>
                <w:color w:val="FFFFFF"/>
                <w:sz w:val="20"/>
                <w:szCs w:val="20"/>
              </w:rPr>
              <w:t xml:space="preserve">   •   Karanga (Sw)  •  Njugu mawe (Sw, regional)  •  The aflatoxin-vulnerable legume</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LOSS RANGE</w:t>
            </w:r>
          </w:p>
          <w:p>
            <w:r>
              <w:rPr>
                <w:rFonts w:ascii="Calibri" w:cs="Calibri" w:eastAsia="Calibri" w:hAnsi="Calibri"/>
                <w:color w:val="1B1B1B"/>
                <w:sz w:val="20"/>
                <w:szCs w:val="20"/>
              </w:rPr>
              <w:t xml:space="preserve">20–40% post-harvest loss (smallholder, including aflatoxin rejection); 5–12% (commercial-grade)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DRYING TARGET</w:t>
            </w:r>
          </w:p>
          <w:p>
            <w:r>
              <w:rPr>
                <w:rFonts w:ascii="Calibri" w:cs="Calibri" w:eastAsia="Calibri" w:hAnsi="Calibri"/>
                <w:color w:val="1B1B1B"/>
                <w:sz w:val="20"/>
                <w:szCs w:val="20"/>
              </w:rPr>
              <w:t xml:space="preserve">8–10% kernel moisture; in-shell drying 10–12% before shelling</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STORAGE APPROACH</w:t>
            </w:r>
          </w:p>
          <w:p>
            <w:r>
              <w:rPr>
                <w:rFonts w:ascii="Calibri" w:cs="Calibri" w:eastAsia="Calibri" w:hAnsi="Calibri"/>
                <w:color w:val="1B1B1B"/>
                <w:sz w:val="20"/>
                <w:szCs w:val="20"/>
              </w:rPr>
              <w:t xml:space="preserve">PICS bags (in-shell or kernel); commercial bulk silos; emerging hermetic adoption</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Northern &amp; Central TZ (the regional production leader); Eastern UG (Lango, Acholi); Western &amp; Nyanza KE; minor RW; minor BI</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Groundnuts (peanuts) are the regional legume with the most consequential post-harvest discipline gap. The crop’s structural aflatoxin vulnerability — dramatically more pronounced than maize — makes post-harvest handling not merely an economic discipline but a public-health imperative. Smallholder groundnut post-harvest losses run 20–40% (including quality-rejection losses from aflatoxin contamination); the commercial-grade infrastructure gap separates premium-export-quality groundnut from contaminated informal-trade groundnut by an order of magnitude in market value.</w:t>
      </w:r>
    </w:p>
    <w:p>
      <w:pPr>
        <w:spacing w:after="120" w:line="300"/>
      </w:pPr>
      <w:r>
        <w:rPr>
          <w:rFonts w:ascii="Calibri" w:cs="Calibri" w:eastAsia="Calibri" w:hAnsi="Calibri"/>
          <w:color w:val="1B1B1B"/>
          <w:sz w:val="22"/>
          <w:szCs w:val="22"/>
        </w:rPr>
        <w:t xml:space="preserve">Tanzania is the regional production leader, with Northern and Central regions (Singida, Manyara, Dodoma, Tabora, Shinyanga) anchoring the production heartland. Uganda’s Lango and Acholi regions are the second regional production cluster. Kenya production is modest. The contemporary commercial story is structured by export demand (principally to India for crushing and to Europe for confectionery) and by domestic peanut butter and oil-extraction operations. The export-grade aflatoxin standards (typically 4 ppb total for EU markets) are dramatically tighter than EAC domestic standards (10 ppb).</w:t>
      </w:r>
    </w:p>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79B93E" w:sz="18"/>
              <w:left w:val="none" w:color="FFFFFF" w:sz="0"/>
              <w:bottom w:val="single" w:color="79B93E" w:sz="4"/>
              <w:right w:val="none" w:color="FFFFFF" w:sz="0"/>
            </w:tcBorders>
            <w:shd w:fill="E8F1E2" w:val="clear"/>
            <w:tcMar>
              <w:top w:type="dxa" w:w="200"/>
              <w:left w:type="dxa" w:w="280"/>
              <w:bottom w:type="dxa" w:w="200"/>
              <w:right w:type="dxa" w:w="280"/>
            </w:tcMar>
          </w:tcPr>
          <w:p>
            <w:pPr>
              <w:spacing w:after="100"/>
            </w:pPr>
            <w:r>
              <w:rPr>
                <w:rFonts w:ascii="Calibri" w:cs="Calibri" w:eastAsia="Calibri" w:hAnsi="Calibri"/>
                <w:b/>
                <w:bCs/>
                <w:color w:val="2E7D32"/>
                <w:spacing w:val="40"/>
                <w:sz w:val="18"/>
                <w:szCs w:val="18"/>
              </w:rPr>
              <w:t xml:space="preserve">GROUNDNUT AFLATOXIN: WHY IT’S WORSE THAN MAIZE</w:t>
            </w:r>
          </w:p>
          <w:p>
            <w:pPr>
              <w:spacing w:after="100" w:line="290"/>
            </w:pPr>
            <w:r>
              <w:rPr>
                <w:rFonts w:ascii="Calibri" w:cs="Calibri" w:eastAsia="Calibri" w:hAnsi="Calibri"/>
                <w:color w:val="1B1B1B"/>
                <w:sz w:val="21"/>
                <w:szCs w:val="21"/>
              </w:rPr>
              <w:t xml:space="preserve">Groundnut is more aflatoxin-vulnerable than any other regional cereal or legume, by a structural margin. Four reasons drive the difference. First, groundnut pods grow underground in direct contact with soil-borne Aspergillus flavus and A. parasiticus inoculum. Second, pre-harvest drought stress (which defines the agro-ecological zones where groundnut is most produced regionally) dramatically increases aflatoxin susceptibility. Third, in-shell drying is slow and uneven — kernels inside pods do not dry uniformly, and the closed-pod environment can hold moisture conducive to fungal colonisation. Fourth, mechanical damage during digging, lifting and stripping creates Aspergillus entry points into otherwise intact kernels.</w:t>
            </w:r>
          </w:p>
          <w:p>
            <w:pPr>
              <w:spacing w:after="100" w:line="290"/>
            </w:pPr>
            <w:r>
              <w:rPr>
                <w:rFonts w:ascii="Calibri" w:cs="Calibri" w:eastAsia="Calibri" w:hAnsi="Calibri"/>
                <w:color w:val="1B1B1B"/>
                <w:sz w:val="21"/>
                <w:szCs w:val="21"/>
              </w:rPr>
              <w:t xml:space="preserve">The post-harvest discipline therefore has to be tighter than for maize. Harvest at full pod maturity (not earlier, not later); rapid lifting and windrow drying for 5–7 days under controlled conditions; thorough drying to 8–10% kernel moisture before storage; hermetic storage to suppress fungal growth; aflatoxin testing at every quality control step. Aflasafe groundnut formulations have been registered in Kenya and Tanzania through 2024–2026 and represent the structural pre-harvest tool that complements post-harvest hermetic storage and laboratory testing.</w:t>
            </w:r>
          </w:p>
          <w:p>
            <w:pPr>
              <w:spacing w:after="0" w:line="290"/>
            </w:pPr>
            <w:r>
              <w:rPr>
                <w:rFonts w:ascii="Calibri" w:cs="Calibri" w:eastAsia="Calibri" w:hAnsi="Calibri"/>
                <w:color w:val="1B1B1B"/>
                <w:sz w:val="21"/>
                <w:szCs w:val="21"/>
              </w:rPr>
              <w:t xml:space="preserve">Export-grade groundnut economics are dominated by the aflatoxin question. EU groundnut import standards (4 ppb total aflatoxin / 2 ppb B1) are dramatically tighter than EAC domestic standards (10 ppb). A 10-tonne export consignment that exceeds the EU threshold loses 50–80% of its value through downgrade or rejection — the structural commercial reality that drives every regional groundnut export aggregator to integrate laboratory testing into procurement. The PACA-supported regional aflatoxin laboratory network, KEPHIS and TBS testing capacity, and a network of commercial aflatoxin testing labs anchor the regional infrastructure.</w:t>
            </w:r>
          </w:p>
        </w:tc>
      </w:tr>
    </w:tbl>
    <w:p>
      <w:r>
        <w:t xml:space="preserve"/>
      </w:r>
    </w:p>
    <w:p>
      <w:pPr>
        <w:pStyle w:val="Heading3"/>
        <w:spacing w:after="60" w:before="160"/>
      </w:pPr>
      <w:r>
        <w:rPr>
          <w:rFonts w:ascii="Calibri" w:cs="Calibri" w:eastAsia="Calibri" w:hAnsi="Calibri"/>
          <w:b/>
          <w:bCs/>
          <w:color w:val="1B1B1B"/>
          <w:sz w:val="23"/>
          <w:szCs w:val="23"/>
        </w:rPr>
        <w:t xml:space="preserve">The post-harvest landscape: harvest, drying, storage</w:t>
      </w:r>
    </w:p>
    <w:p>
      <w:pPr>
        <w:pStyle w:val="ListParagraph"/>
        <w:numPr>
          <w:ilvl w:val="0"/>
          <w:numId w:val="2"/>
        </w:numPr>
        <w:spacing w:after="80" w:line="290"/>
      </w:pPr>
      <w:r>
        <w:rPr>
          <w:rFonts w:ascii="Calibri" w:cs="Calibri" w:eastAsia="Calibri" w:hAnsi="Calibri"/>
          <w:b/>
          <w:bCs/>
          <w:color w:val="1B1B1B"/>
          <w:sz w:val="22"/>
          <w:szCs w:val="22"/>
        </w:rPr>
        <w:t xml:space="preserve">Harvest timing (the aflatoxin-determining decision): </w:t>
      </w:r>
      <w:r>
        <w:rPr>
          <w:rFonts w:ascii="Calibri" w:cs="Calibri" w:eastAsia="Calibri" w:hAnsi="Calibri"/>
          <w:color w:val="1B1B1B"/>
          <w:sz w:val="22"/>
          <w:szCs w:val="22"/>
        </w:rPr>
        <w:t xml:space="preserve">Harvest at full pod maturity when 70–80% of pods show internal kernel maturity (kernel coat darkening; pod veins fully developed). Premature harvest produces immature kernels; delayed harvest invites soil-pathogen contact and aflatoxin development.</w:t>
      </w:r>
    </w:p>
    <w:p>
      <w:pPr>
        <w:pStyle w:val="ListParagraph"/>
        <w:numPr>
          <w:ilvl w:val="0"/>
          <w:numId w:val="2"/>
        </w:numPr>
        <w:spacing w:after="80" w:line="290"/>
      </w:pPr>
      <w:r>
        <w:rPr>
          <w:rFonts w:ascii="Calibri" w:cs="Calibri" w:eastAsia="Calibri" w:hAnsi="Calibri"/>
          <w:b/>
          <w:bCs/>
          <w:color w:val="1B1B1B"/>
          <w:sz w:val="22"/>
          <w:szCs w:val="22"/>
        </w:rPr>
        <w:t xml:space="preserve">Lifting and windrow drying: </w:t>
      </w:r>
      <w:r>
        <w:rPr>
          <w:rFonts w:ascii="Calibri" w:cs="Calibri" w:eastAsia="Calibri" w:hAnsi="Calibri"/>
          <w:color w:val="1B1B1B"/>
          <w:sz w:val="22"/>
          <w:szCs w:val="22"/>
        </w:rPr>
        <w:t xml:space="preserve">Hand-pulled (smallholder) or mechanically lifted (commercial) plants inverted with pods exposed for 5–7 days of windrow drying under controlled conditions; this critical step determines downstream aflatoxin status.</w:t>
      </w:r>
    </w:p>
    <w:p>
      <w:pPr>
        <w:pStyle w:val="ListParagraph"/>
        <w:numPr>
          <w:ilvl w:val="0"/>
          <w:numId w:val="2"/>
        </w:numPr>
        <w:spacing w:after="80" w:line="290"/>
      </w:pPr>
      <w:r>
        <w:rPr>
          <w:rFonts w:ascii="Calibri" w:cs="Calibri" w:eastAsia="Calibri" w:hAnsi="Calibri"/>
          <w:b/>
          <w:bCs/>
          <w:color w:val="1B1B1B"/>
          <w:sz w:val="22"/>
          <w:szCs w:val="22"/>
        </w:rPr>
        <w:t xml:space="preserve">Stripping (separating pods from haulm): </w:t>
      </w:r>
      <w:r>
        <w:rPr>
          <w:rFonts w:ascii="Calibri" w:cs="Calibri" w:eastAsia="Calibri" w:hAnsi="Calibri"/>
          <w:color w:val="1B1B1B"/>
          <w:sz w:val="22"/>
          <w:szCs w:val="22"/>
        </w:rPr>
        <w:t xml:space="preserve">Hand-stripping at smallholder scale; mechanical strippers at cooperative and commercial scale. Damage during stripping creates aflatoxin entry points.</w:t>
      </w:r>
    </w:p>
    <w:p>
      <w:pPr>
        <w:pStyle w:val="ListParagraph"/>
        <w:numPr>
          <w:ilvl w:val="0"/>
          <w:numId w:val="2"/>
        </w:numPr>
        <w:spacing w:after="80" w:line="290"/>
      </w:pPr>
      <w:r>
        <w:rPr>
          <w:rFonts w:ascii="Calibri" w:cs="Calibri" w:eastAsia="Calibri" w:hAnsi="Calibri"/>
          <w:b/>
          <w:bCs/>
          <w:color w:val="1B1B1B"/>
          <w:sz w:val="22"/>
          <w:szCs w:val="22"/>
        </w:rPr>
        <w:t xml:space="preserve">Drying — in-shell: </w:t>
      </w:r>
      <w:r>
        <w:rPr>
          <w:rFonts w:ascii="Calibri" w:cs="Calibri" w:eastAsia="Calibri" w:hAnsi="Calibri"/>
          <w:color w:val="1B1B1B"/>
          <w:sz w:val="22"/>
          <w:szCs w:val="22"/>
        </w:rPr>
        <w:t xml:space="preserve">Sun-drying in-shell groundnuts on tarps to 10–12% pod moisture before shelling; mechanical drying at commercial scale.</w:t>
      </w:r>
    </w:p>
    <w:p>
      <w:pPr>
        <w:pStyle w:val="ListParagraph"/>
        <w:numPr>
          <w:ilvl w:val="0"/>
          <w:numId w:val="2"/>
        </w:numPr>
        <w:spacing w:after="80" w:line="290"/>
      </w:pPr>
      <w:r>
        <w:rPr>
          <w:rFonts w:ascii="Calibri" w:cs="Calibri" w:eastAsia="Calibri" w:hAnsi="Calibri"/>
          <w:b/>
          <w:bCs/>
          <w:color w:val="1B1B1B"/>
          <w:sz w:val="22"/>
          <w:szCs w:val="22"/>
        </w:rPr>
        <w:t xml:space="preserve">Drying — kernel (post-shelling): </w:t>
      </w:r>
      <w:r>
        <w:rPr>
          <w:rFonts w:ascii="Calibri" w:cs="Calibri" w:eastAsia="Calibri" w:hAnsi="Calibri"/>
          <w:color w:val="1B1B1B"/>
          <w:sz w:val="22"/>
          <w:szCs w:val="22"/>
        </w:rPr>
        <w:t xml:space="preserve">Kernel drying to 8–10% moisture for safe storage; tighter moisture target than for any other regional legume due to aflatoxin sensitivity.</w:t>
      </w:r>
    </w:p>
    <w:p>
      <w:pPr>
        <w:pStyle w:val="ListParagraph"/>
        <w:numPr>
          <w:ilvl w:val="0"/>
          <w:numId w:val="2"/>
        </w:numPr>
        <w:spacing w:after="80" w:line="290"/>
      </w:pPr>
      <w:r>
        <w:rPr>
          <w:rFonts w:ascii="Calibri" w:cs="Calibri" w:eastAsia="Calibri" w:hAnsi="Calibri"/>
          <w:b/>
          <w:bCs/>
          <w:color w:val="1B1B1B"/>
          <w:sz w:val="22"/>
          <w:szCs w:val="22"/>
        </w:rPr>
        <w:t xml:space="preserve">Sorting and grading (the value-capture step): </w:t>
      </w:r>
      <w:r>
        <w:rPr>
          <w:rFonts w:ascii="Calibri" w:cs="Calibri" w:eastAsia="Calibri" w:hAnsi="Calibri"/>
          <w:color w:val="1B1B1B"/>
          <w:sz w:val="22"/>
          <w:szCs w:val="22"/>
        </w:rPr>
        <w:t xml:space="preserve">Hand-sorting for visibly mouldy or damaged kernels at smallholder scale; mechanical colour-sorters and gravity tables at commercial scale. Premium-grade sorted groundnut commands structural premium over mixed-grade informal trade.</w:t>
      </w:r>
    </w:p>
    <w:p>
      <w:pPr>
        <w:pStyle w:val="ListParagraph"/>
        <w:numPr>
          <w:ilvl w:val="0"/>
          <w:numId w:val="2"/>
        </w:numPr>
        <w:spacing w:after="80" w:line="290"/>
      </w:pPr>
      <w:r>
        <w:rPr>
          <w:rFonts w:ascii="Calibri" w:cs="Calibri" w:eastAsia="Calibri" w:hAnsi="Calibri"/>
          <w:b/>
          <w:bCs/>
          <w:color w:val="1B1B1B"/>
          <w:sz w:val="22"/>
          <w:szCs w:val="22"/>
        </w:rPr>
        <w:t xml:space="preserve">Storage — hermetic: </w:t>
      </w:r>
      <w:r>
        <w:rPr>
          <w:rFonts w:ascii="Calibri" w:cs="Calibri" w:eastAsia="Calibri" w:hAnsi="Calibri"/>
          <w:color w:val="1B1B1B"/>
          <w:sz w:val="22"/>
          <w:szCs w:val="22"/>
        </w:rPr>
        <w:t xml:space="preserve">PICS bags (highly effective for groundnut); metal silos for cooperative scale; commercial bulk silos for export aggregation. Hermetic storage suppresses both fungal growth and bruchid colonisation.</w:t>
      </w:r>
    </w:p>
    <w:p>
      <w:pPr>
        <w:pStyle w:val="ListParagraph"/>
        <w:numPr>
          <w:ilvl w:val="0"/>
          <w:numId w:val="2"/>
        </w:numPr>
        <w:spacing w:after="80" w:line="290"/>
      </w:pPr>
      <w:r>
        <w:rPr>
          <w:rFonts w:ascii="Calibri" w:cs="Calibri" w:eastAsia="Calibri" w:hAnsi="Calibri"/>
          <w:b/>
          <w:bCs/>
          <w:color w:val="1B1B1B"/>
          <w:sz w:val="22"/>
          <w:szCs w:val="22"/>
        </w:rPr>
        <w:t xml:space="preserve">Aflatoxin testing: </w:t>
      </w:r>
      <w:r>
        <w:rPr>
          <w:rFonts w:ascii="Calibri" w:cs="Calibri" w:eastAsia="Calibri" w:hAnsi="Calibri"/>
          <w:color w:val="1B1B1B"/>
          <w:sz w:val="22"/>
          <w:szCs w:val="22"/>
        </w:rPr>
        <w:t xml:space="preserve">Laboratory testing through KEPHIS, TBS, KALRO Katumani, the PACA-supported regional aflatoxin laboratory network, and commercial labs; rapid-test ELISA strips at cooperative scale; full HPLC quantification at export-grade.</w:t>
      </w:r>
    </w:p>
    <w:p>
      <w:pPr>
        <w:pStyle w:val="Heading3"/>
        <w:spacing w:after="60" w:before="160"/>
      </w:pPr>
      <w:r>
        <w:rPr>
          <w:rFonts w:ascii="Calibri" w:cs="Calibri" w:eastAsia="Calibri" w:hAnsi="Calibri"/>
          <w:b/>
          <w:bCs/>
          <w:color w:val="1B1B1B"/>
          <w:sz w:val="23"/>
          <w:szCs w:val="23"/>
        </w:rPr>
        <w:t xml:space="preserve">The processing &amp; value-add landscape</w:t>
      </w:r>
    </w:p>
    <w:p>
      <w:pPr>
        <w:pStyle w:val="ListParagraph"/>
        <w:numPr>
          <w:ilvl w:val="0"/>
          <w:numId w:val="2"/>
        </w:numPr>
        <w:spacing w:after="80" w:line="290"/>
      </w:pPr>
      <w:r>
        <w:rPr>
          <w:rFonts w:ascii="Calibri" w:cs="Calibri" w:eastAsia="Calibri" w:hAnsi="Calibri"/>
          <w:b/>
          <w:bCs/>
          <w:color w:val="1B1B1B"/>
          <w:sz w:val="22"/>
          <w:szCs w:val="22"/>
        </w:rPr>
        <w:t xml:space="preserve">Oil pressing (the dominant commercial channel): </w:t>
      </w:r>
      <w:r>
        <w:rPr>
          <w:rFonts w:ascii="Calibri" w:cs="Calibri" w:eastAsia="Calibri" w:hAnsi="Calibri"/>
          <w:color w:val="1B1B1B"/>
          <w:sz w:val="22"/>
          <w:szCs w:val="22"/>
        </w:rPr>
        <w:t xml:space="preserve">Expeller pressing for groundnut oil; oil yield typically 35–40% of kernel weight. Major regional operators: Mukwano (Uganda), Bidco Africa, Pwani Oil (Kenya), AAA Growers and emerging private commercial operators.</w:t>
      </w:r>
    </w:p>
    <w:p>
      <w:pPr>
        <w:pStyle w:val="ListParagraph"/>
        <w:numPr>
          <w:ilvl w:val="0"/>
          <w:numId w:val="2"/>
        </w:numPr>
        <w:spacing w:after="80" w:line="290"/>
      </w:pPr>
      <w:r>
        <w:rPr>
          <w:rFonts w:ascii="Calibri" w:cs="Calibri" w:eastAsia="Calibri" w:hAnsi="Calibri"/>
          <w:b/>
          <w:bCs/>
          <w:color w:val="1B1B1B"/>
          <w:sz w:val="22"/>
          <w:szCs w:val="22"/>
        </w:rPr>
        <w:t xml:space="preserve">Peanut butter manufacturing: </w:t>
      </w:r>
      <w:r>
        <w:rPr>
          <w:rFonts w:ascii="Calibri" w:cs="Calibri" w:eastAsia="Calibri" w:hAnsi="Calibri"/>
          <w:color w:val="1B1B1B"/>
          <w:sz w:val="22"/>
          <w:szCs w:val="22"/>
        </w:rPr>
        <w:t xml:space="preserve">Roasting, blanching, milling and stabilisation. Major regional brands: Dalfa (Kenya), Royco peanut butter, Imbo peanut butter (Burundi), Muga peanut butter, emerging premium-niche operators (Sasini, Kenya Nuts Company).</w:t>
      </w:r>
    </w:p>
    <w:p>
      <w:pPr>
        <w:pStyle w:val="ListParagraph"/>
        <w:numPr>
          <w:ilvl w:val="0"/>
          <w:numId w:val="2"/>
        </w:numPr>
        <w:spacing w:after="80" w:line="290"/>
      </w:pPr>
      <w:r>
        <w:rPr>
          <w:rFonts w:ascii="Calibri" w:cs="Calibri" w:eastAsia="Calibri" w:hAnsi="Calibri"/>
          <w:b/>
          <w:bCs/>
          <w:color w:val="1B1B1B"/>
          <w:sz w:val="22"/>
          <w:szCs w:val="22"/>
        </w:rPr>
        <w:t xml:space="preserve">Roasted, salted, and confectionery: </w:t>
      </w:r>
      <w:r>
        <w:rPr>
          <w:rFonts w:ascii="Calibri" w:cs="Calibri" w:eastAsia="Calibri" w:hAnsi="Calibri"/>
          <w:color w:val="1B1B1B"/>
          <w:sz w:val="22"/>
          <w:szCs w:val="22"/>
        </w:rPr>
        <w:t xml:space="preserve">Roasted-and-salted retail packs; emerging regional confectionery integration; honey-roasted and flavoured premium-niche product lines.</w:t>
      </w:r>
    </w:p>
    <w:p>
      <w:pPr>
        <w:pStyle w:val="ListParagraph"/>
        <w:numPr>
          <w:ilvl w:val="0"/>
          <w:numId w:val="2"/>
        </w:numPr>
        <w:spacing w:after="80" w:line="290"/>
      </w:pPr>
      <w:r>
        <w:rPr>
          <w:rFonts w:ascii="Calibri" w:cs="Calibri" w:eastAsia="Calibri" w:hAnsi="Calibri"/>
          <w:b/>
          <w:bCs/>
          <w:color w:val="1B1B1B"/>
          <w:sz w:val="22"/>
          <w:szCs w:val="22"/>
        </w:rPr>
        <w:t xml:space="preserve">Export-grade kernel trade: </w:t>
      </w:r>
      <w:r>
        <w:rPr>
          <w:rFonts w:ascii="Calibri" w:cs="Calibri" w:eastAsia="Calibri" w:hAnsi="Calibri"/>
          <w:color w:val="1B1B1B"/>
          <w:sz w:val="22"/>
          <w:szCs w:val="22"/>
        </w:rPr>
        <w:t xml:space="preserve">India crushing market (the largest export volume channel); EU confectionery market (premium aflatoxin-tested grade); emerging Middle East and Asian markets.</w:t>
      </w:r>
    </w:p>
    <w:p>
      <w:pPr>
        <w:pStyle w:val="ListParagraph"/>
        <w:numPr>
          <w:ilvl w:val="0"/>
          <w:numId w:val="2"/>
        </w:numPr>
        <w:spacing w:after="80" w:line="290"/>
      </w:pPr>
      <w:r>
        <w:rPr>
          <w:rFonts w:ascii="Calibri" w:cs="Calibri" w:eastAsia="Calibri" w:hAnsi="Calibri"/>
          <w:b/>
          <w:bCs/>
          <w:color w:val="1B1B1B"/>
          <w:sz w:val="22"/>
          <w:szCs w:val="22"/>
        </w:rPr>
        <w:t xml:space="preserve">Groundnut cake (post-pressing meal): </w:t>
      </w:r>
      <w:r>
        <w:rPr>
          <w:rFonts w:ascii="Calibri" w:cs="Calibri" w:eastAsia="Calibri" w:hAnsi="Calibri"/>
          <w:color w:val="1B1B1B"/>
          <w:sz w:val="22"/>
          <w:szCs w:val="22"/>
        </w:rPr>
        <w:t xml:space="preserve">High-protein meal residue (typically 40–45% protein) used as livestock and aquaculture feed input; significant regional commercial value.</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Cold-pressed extra-virgin groundnut oil for premium retail; flavoured peanut butter formulations; emerging plant-based meat alternative formulations.</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Kernel moisture: 8% maximum for export-grade; 10% maximum for domestic crushing-grade.</w:t>
      </w:r>
    </w:p>
    <w:p>
      <w:pPr>
        <w:pStyle w:val="ListParagraph"/>
        <w:numPr>
          <w:ilvl w:val="0"/>
          <w:numId w:val="2"/>
        </w:numPr>
        <w:spacing w:after="80" w:line="290"/>
      </w:pPr>
      <w:r>
        <w:rPr>
          <w:rFonts w:ascii="Calibri" w:cs="Calibri" w:eastAsia="Calibri" w:hAnsi="Calibri"/>
          <w:color w:val="1B1B1B"/>
          <w:sz w:val="22"/>
          <w:szCs w:val="22"/>
        </w:rPr>
        <w:t xml:space="preserve">Aflatoxin total — EU export grade: 4 ppb maximum (B1: 2 ppb maximum).</w:t>
      </w:r>
    </w:p>
    <w:p>
      <w:pPr>
        <w:pStyle w:val="ListParagraph"/>
        <w:numPr>
          <w:ilvl w:val="0"/>
          <w:numId w:val="2"/>
        </w:numPr>
        <w:spacing w:after="80" w:line="290"/>
      </w:pPr>
      <w:r>
        <w:rPr>
          <w:rFonts w:ascii="Calibri" w:cs="Calibri" w:eastAsia="Calibri" w:hAnsi="Calibri"/>
          <w:color w:val="1B1B1B"/>
          <w:sz w:val="22"/>
          <w:szCs w:val="22"/>
        </w:rPr>
        <w:t xml:space="preserve">Aflatoxin total — EAC domestic grade: 10 ppb maximum (B1: 5 ppb maximum).</w:t>
      </w:r>
    </w:p>
    <w:p>
      <w:pPr>
        <w:pStyle w:val="ListParagraph"/>
        <w:numPr>
          <w:ilvl w:val="0"/>
          <w:numId w:val="2"/>
        </w:numPr>
        <w:spacing w:after="80" w:line="290"/>
      </w:pPr>
      <w:r>
        <w:rPr>
          <w:rFonts w:ascii="Calibri" w:cs="Calibri" w:eastAsia="Calibri" w:hAnsi="Calibri"/>
          <w:color w:val="1B1B1B"/>
          <w:sz w:val="22"/>
          <w:szCs w:val="22"/>
        </w:rPr>
        <w:t xml:space="preserve">Foreign matter: typically maximum 0.5% for export-grade.</w:t>
      </w:r>
    </w:p>
    <w:p>
      <w:pPr>
        <w:pStyle w:val="ListParagraph"/>
        <w:numPr>
          <w:ilvl w:val="0"/>
          <w:numId w:val="2"/>
        </w:numPr>
        <w:spacing w:after="80" w:line="290"/>
      </w:pPr>
      <w:r>
        <w:rPr>
          <w:rFonts w:ascii="Calibri" w:cs="Calibri" w:eastAsia="Calibri" w:hAnsi="Calibri"/>
          <w:color w:val="1B1B1B"/>
          <w:sz w:val="22"/>
          <w:szCs w:val="22"/>
        </w:rPr>
        <w:t xml:space="preserve">Damaged kernels: typically maximum 2–3% for export-grade; 5–7% for domestic.</w:t>
      </w:r>
    </w:p>
    <w:p>
      <w:pPr>
        <w:pStyle w:val="ListParagraph"/>
        <w:numPr>
          <w:ilvl w:val="0"/>
          <w:numId w:val="2"/>
        </w:numPr>
        <w:spacing w:after="80" w:line="290"/>
      </w:pPr>
      <w:r>
        <w:rPr>
          <w:rFonts w:ascii="Calibri" w:cs="Calibri" w:eastAsia="Calibri" w:hAnsi="Calibri"/>
          <w:color w:val="1B1B1B"/>
          <w:sz w:val="22"/>
          <w:szCs w:val="22"/>
        </w:rPr>
        <w:t xml:space="preserve">Splits: typically maximum 5–10% for premium kernel-grade.</w:t>
      </w:r>
    </w:p>
    <w:p>
      <w:pPr>
        <w:pStyle w:val="ListParagraph"/>
        <w:numPr>
          <w:ilvl w:val="0"/>
          <w:numId w:val="2"/>
        </w:numPr>
        <w:spacing w:after="80" w:line="290"/>
      </w:pPr>
      <w:r>
        <w:rPr>
          <w:rFonts w:ascii="Calibri" w:cs="Calibri" w:eastAsia="Calibri" w:hAnsi="Calibri"/>
          <w:color w:val="1B1B1B"/>
          <w:sz w:val="22"/>
          <w:szCs w:val="22"/>
        </w:rPr>
        <w:t xml:space="preserve">Mould-affected kernels: typically zero tolerance for export-grade; maximum 1–2% for domestic-grade.</w:t>
      </w:r>
    </w:p>
    <w:p>
      <w:pPr>
        <w:pStyle w:val="ListParagraph"/>
        <w:numPr>
          <w:ilvl w:val="0"/>
          <w:numId w:val="2"/>
        </w:numPr>
        <w:spacing w:after="80" w:line="290"/>
      </w:pPr>
      <w:r>
        <w:rPr>
          <w:rFonts w:ascii="Calibri" w:cs="Calibri" w:eastAsia="Calibri" w:hAnsi="Calibri"/>
          <w:color w:val="1B1B1B"/>
          <w:sz w:val="22"/>
          <w:szCs w:val="22"/>
        </w:rPr>
        <w:t xml:space="preserve">Certification: KEBS, TBS, UNBS, RSB, BBS standards; export grades require phytosanitary certification and aflatoxin-test documentation.</w:t>
      </w:r>
    </w:p>
    <w:p>
      <w:pPr>
        <w:pStyle w:val="Heading3"/>
        <w:spacing w:after="60" w:before="160"/>
      </w:pPr>
      <w:r>
        <w:rPr>
          <w:rFonts w:ascii="Calibri" w:cs="Calibri" w:eastAsia="Calibri" w:hAnsi="Calibri"/>
          <w:b/>
          <w:bCs/>
          <w:color w:val="1B1B1B"/>
          <w:sz w:val="23"/>
          <w:szCs w:val="23"/>
        </w:rPr>
        <w:t xml:space="preserve">Where to source equipment, services, and processors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Equipment: KALRO Kakamega-linked supplier networks; private mill suppliers. Storage: PICS bag distributors. Aflatoxin testing: KEPHIS; KALRO Katumani; KALRO Kakamega; PACA-affiliated commercial labs. Processors: Dalfa peanut butter; Sasini; Kenya Nuts Company; emerging premium-niche operators.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Equipment: TARI Naliendele (the regional groundnut research centre at Mtwara); private commercial mill suppliers. Storage: PICS bag distributors via TARI-affiliated networks; A to Z Textile Mills. Aflatoxin testing: TBS; TARI Naliendele; Sokoine University; PACA-affiliated commercial labs. Processors: Bidco Tanzania; Bakhresa Group; Mount Meru Millers; AGCOT-cluster aggregators in Singida, Manyara, Dodoma; emerging cooperative operators.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Equipment: NaSARRI Serere-linked networks. Storage: PICS bag distributors. Aflatoxin testing: UNBS; Makerere University; PACA-affiliated commercial labs. Processors: Mukwano (the regional production-and-processing leader); BIDCO Uganda; emerging Lango-and-Acholi cooperative operators.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Equipment: regional imports. Storage: PICS bag distributors via RAB-affiliated networks. Aflatoxin testing: RSB; emerging commercial labs. Processors: Africa Improved Foods (AIF) groundnut-based formulations; emerging cooperative operators.</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Equipment: regional imports. Storage: PICS bag distributors. Aflatoxin testing: BBS; emerging laboratory capacity. Processors: Imbo peanut butter and emerging cooperative operators.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Groundnut post-harvest is the regional infrastructure where the discipline gap between smallholder and commercial-grade outcomes carries direct public-health consequences alongside commercial ones. Aflatoxin management is not optional; it is the foundation of every commercial decision in the value chain.</w:t>
      </w:r>
    </w:p>
    <w:p>
      <w:pPr>
        <w:spacing w:after="120" w:line="300"/>
      </w:pPr>
      <w:r>
        <w:rPr>
          <w:rFonts w:ascii="Calibri" w:cs="Calibri" w:eastAsia="Calibri" w:hAnsi="Calibri"/>
          <w:color w:val="1B1B1B"/>
          <w:sz w:val="22"/>
          <w:szCs w:val="22"/>
        </w:rPr>
        <w:t xml:space="preserve">For smallholder groundnut producers, the actionable rule is participation in PACA-affiliated cooperative aggregation with integrated aflatoxin testing; informal-market trade carries both economic and health costs that compound over time. For commercial operators and export aggregators, integrated Aflasafe deployment + hermetic storage + laboratory testing is the regional standard. For governments and impact investors, scaling regional aflatoxin testing infrastructure into the production heartlands of Tanzania’s Singida-Manyara-Dodoma-Tabora and Uganda’s Lango-Acholi is the available structural commercial-and-public-health investment opportunity.</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04</w:t>
            </w:r>
          </w:p>
          <w:p>
            <w:pPr>
              <w:spacing w:after="40"/>
            </w:pPr>
            <w:r>
              <w:rPr>
                <w:rFonts w:ascii="Calibri" w:cs="Calibri" w:eastAsia="Calibri" w:hAnsi="Calibri"/>
                <w:b/>
                <w:bCs/>
                <w:color w:val="FFFFFF"/>
                <w:sz w:val="36"/>
                <w:szCs w:val="36"/>
              </w:rPr>
              <w:t xml:space="preserve">Pigeon Peas</w:t>
            </w:r>
          </w:p>
          <w:p>
            <w:r>
              <w:rPr>
                <w:rFonts w:ascii="Calibri" w:cs="Calibri" w:eastAsia="Calibri" w:hAnsi="Calibri"/>
                <w:i/>
                <w:iCs/>
                <w:color w:val="FFFFFF"/>
                <w:sz w:val="20"/>
                <w:szCs w:val="20"/>
              </w:rPr>
              <w:t xml:space="preserve">Cajanus cajan</w:t>
            </w:r>
            <w:r>
              <w:rPr>
                <w:rFonts w:ascii="Calibri" w:cs="Calibri" w:eastAsia="Calibri" w:hAnsi="Calibri"/>
                <w:color w:val="FFFFFF"/>
                <w:sz w:val="20"/>
                <w:szCs w:val="20"/>
              </w:rPr>
              <w:t xml:space="preserve">   •   Mbaazi (Sw)  •  The Tanzania-to-India dahl-export crop</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LOSS RANGE</w:t>
            </w:r>
          </w:p>
          <w:p>
            <w:r>
              <w:rPr>
                <w:rFonts w:ascii="Calibri" w:cs="Calibri" w:eastAsia="Calibri" w:hAnsi="Calibri"/>
                <w:color w:val="1B1B1B"/>
                <w:sz w:val="20"/>
                <w:szCs w:val="20"/>
              </w:rPr>
              <w:t xml:space="preserve">10–20% post-harvest loss (smallholder); 3–7% (commercial export-grade)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DRYING TARGET</w:t>
            </w:r>
          </w:p>
          <w:p>
            <w:r>
              <w:rPr>
                <w:rFonts w:ascii="Calibri" w:cs="Calibri" w:eastAsia="Calibri" w:hAnsi="Calibri"/>
                <w:color w:val="1B1B1B"/>
                <w:sz w:val="20"/>
                <w:szCs w:val="20"/>
              </w:rPr>
              <w:t xml:space="preserve">12–13% moisture content for safe storage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STORAGE APPROACH</w:t>
            </w:r>
          </w:p>
          <w:p>
            <w:r>
              <w:rPr>
                <w:rFonts w:ascii="Calibri" w:cs="Calibri" w:eastAsia="Calibri" w:hAnsi="Calibri"/>
                <w:color w:val="1B1B1B"/>
                <w:sz w:val="20"/>
                <w:szCs w:val="20"/>
              </w:rPr>
              <w:t xml:space="preserve">Polypropylene bags (commercial); PICS bags emerging; bulk warehousing for export consolidation</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Northern &amp; Lake Zone TZ (the regional export-volume leader); Eastern KE (Kitui, Tharaka-Nithi, Makueni); minor UG; minor RW; minor BI</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Pigeon peas are East Africa’s structurally export-oriented legume — the crop where Tanzania has built a regional commercial-export infrastructure feeding the Indian dahl market that no other regional legume has approached at comparable scale. Tanzania annual pigeon pea production exceeds 400,000 tonnes; Kenya production is approximately 200,000 tonnes; Uganda, Rwanda and Burundi production is minor. The dominant export channel is to India, where pigeon peas (toor dal) are a staple ingredient and where Indian domestic supply remains structurally below demand.</w:t>
      </w:r>
    </w:p>
    <w:p>
      <w:pPr>
        <w:spacing w:after="120" w:line="300"/>
      </w:pPr>
      <w:r>
        <w:rPr>
          <w:rFonts w:ascii="Calibri" w:cs="Calibri" w:eastAsia="Calibri" w:hAnsi="Calibri"/>
          <w:color w:val="1B1B1B"/>
          <w:sz w:val="22"/>
          <w:szCs w:val="22"/>
        </w:rPr>
        <w:t xml:space="preserve">Pigeon pea post-harvest economics are anchored by export-grade specifications. Sorting by colour (cream-white versus reddish-brown), size (small, medium, large), and uniformity drives premium-versus-standard grade pricing. Major commercial aggregators — Export Trading Group (ETG), Olam Tanzania, AGCOT-cluster operations in Mbeya-Iringa, and a network of Indian-trader-affiliated regional companies — anchor the export consolidation. The Indian import seasonal price cycle (peaking around Diwali festival demand) drives regional pigeon pea cash-flow rhythms.</w:t>
      </w:r>
    </w:p>
    <w:p>
      <w:pPr>
        <w:pStyle w:val="Heading3"/>
        <w:spacing w:after="60" w:before="160"/>
      </w:pPr>
      <w:r>
        <w:rPr>
          <w:rFonts w:ascii="Calibri" w:cs="Calibri" w:eastAsia="Calibri" w:hAnsi="Calibri"/>
          <w:b/>
          <w:bCs/>
          <w:color w:val="1B1B1B"/>
          <w:sz w:val="23"/>
          <w:szCs w:val="23"/>
        </w:rPr>
        <w:t xml:space="preserve">The post-harvest landscape: harvest, drying, storage</w:t>
      </w:r>
    </w:p>
    <w:p>
      <w:pPr>
        <w:pStyle w:val="ListParagraph"/>
        <w:numPr>
          <w:ilvl w:val="0"/>
          <w:numId w:val="2"/>
        </w:numPr>
        <w:spacing w:after="80" w:line="290"/>
      </w:pPr>
      <w:r>
        <w:rPr>
          <w:rFonts w:ascii="Calibri" w:cs="Calibri" w:eastAsia="Calibri" w:hAnsi="Calibri"/>
          <w:b/>
          <w:bCs/>
          <w:color w:val="1B1B1B"/>
          <w:sz w:val="22"/>
          <w:szCs w:val="22"/>
        </w:rPr>
        <w:t xml:space="preserve">Harvest timing: </w:t>
      </w:r>
      <w:r>
        <w:rPr>
          <w:rFonts w:ascii="Calibri" w:cs="Calibri" w:eastAsia="Calibri" w:hAnsi="Calibri"/>
          <w:color w:val="1B1B1B"/>
          <w:sz w:val="22"/>
          <w:szCs w:val="22"/>
        </w:rPr>
        <w:t xml:space="preserve">Pigeon peas mature staggered over 3–6 weeks of harvesting cycles. Multiple harvests over the season — the indeterminate growth pattern that distinguishes pigeon pea from common bean and other determinate legumes.</w:t>
      </w:r>
    </w:p>
    <w:p>
      <w:pPr>
        <w:pStyle w:val="ListParagraph"/>
        <w:numPr>
          <w:ilvl w:val="0"/>
          <w:numId w:val="2"/>
        </w:numPr>
        <w:spacing w:after="80" w:line="290"/>
      </w:pPr>
      <w:r>
        <w:rPr>
          <w:rFonts w:ascii="Calibri" w:cs="Calibri" w:eastAsia="Calibri" w:hAnsi="Calibri"/>
          <w:b/>
          <w:bCs/>
          <w:color w:val="1B1B1B"/>
          <w:sz w:val="22"/>
          <w:szCs w:val="22"/>
        </w:rPr>
        <w:t xml:space="preserve">Threshing: </w:t>
      </w:r>
      <w:r>
        <w:rPr>
          <w:rFonts w:ascii="Calibri" w:cs="Calibri" w:eastAsia="Calibri" w:hAnsi="Calibri"/>
          <w:color w:val="1B1B1B"/>
          <w:sz w:val="22"/>
          <w:szCs w:val="22"/>
        </w:rPr>
        <w:t xml:space="preserve">Hand-threshing on tarps at smallholder scale; mechanical threshing at cooperative and commercial scale; combine harvesting at large-commercial scale (limited regional adoption).</w:t>
      </w:r>
    </w:p>
    <w:p>
      <w:pPr>
        <w:pStyle w:val="ListParagraph"/>
        <w:numPr>
          <w:ilvl w:val="0"/>
          <w:numId w:val="2"/>
        </w:numPr>
        <w:spacing w:after="80" w:line="290"/>
      </w:pPr>
      <w:r>
        <w:rPr>
          <w:rFonts w:ascii="Calibri" w:cs="Calibri" w:eastAsia="Calibri" w:hAnsi="Calibri"/>
          <w:b/>
          <w:bCs/>
          <w:color w:val="1B1B1B"/>
          <w:sz w:val="22"/>
          <w:szCs w:val="22"/>
        </w:rPr>
        <w:t xml:space="preserve">Drying: </w:t>
      </w:r>
      <w:r>
        <w:rPr>
          <w:rFonts w:ascii="Calibri" w:cs="Calibri" w:eastAsia="Calibri" w:hAnsi="Calibri"/>
          <w:color w:val="1B1B1B"/>
          <w:sz w:val="22"/>
          <w:szCs w:val="22"/>
        </w:rPr>
        <w:t xml:space="preserve">Sun-drying to 12–13% moisture; pigeon peas dry readily and store well at appropriate moisture levels.</w:t>
      </w:r>
    </w:p>
    <w:p>
      <w:pPr>
        <w:pStyle w:val="ListParagraph"/>
        <w:numPr>
          <w:ilvl w:val="0"/>
          <w:numId w:val="2"/>
        </w:numPr>
        <w:spacing w:after="80" w:line="290"/>
      </w:pPr>
      <w:r>
        <w:rPr>
          <w:rFonts w:ascii="Calibri" w:cs="Calibri" w:eastAsia="Calibri" w:hAnsi="Calibri"/>
          <w:b/>
          <w:bCs/>
          <w:color w:val="1B1B1B"/>
          <w:sz w:val="22"/>
          <w:szCs w:val="22"/>
        </w:rPr>
        <w:t xml:space="preserve">Cleaning and grading (the export-determinant step): </w:t>
      </w:r>
      <w:r>
        <w:rPr>
          <w:rFonts w:ascii="Calibri" w:cs="Calibri" w:eastAsia="Calibri" w:hAnsi="Calibri"/>
          <w:color w:val="1B1B1B"/>
          <w:sz w:val="22"/>
          <w:szCs w:val="22"/>
        </w:rPr>
        <w:t xml:space="preserve">Hand-sorting at smallholder scale; mechanical sorting at cooperative scale; optical colour-sorters and gravity tables at commercial export-aggregation scale. Export-grade specifications (typically India-buyer-driven) require uniform colour, size and freedom from foreign matter.</w:t>
      </w:r>
    </w:p>
    <w:p>
      <w:pPr>
        <w:pStyle w:val="ListParagraph"/>
        <w:numPr>
          <w:ilvl w:val="0"/>
          <w:numId w:val="2"/>
        </w:numPr>
        <w:spacing w:after="80" w:line="290"/>
      </w:pPr>
      <w:r>
        <w:rPr>
          <w:rFonts w:ascii="Calibri" w:cs="Calibri" w:eastAsia="Calibri" w:hAnsi="Calibri"/>
          <w:b/>
          <w:bCs/>
          <w:color w:val="1B1B1B"/>
          <w:sz w:val="22"/>
          <w:szCs w:val="22"/>
        </w:rPr>
        <w:t xml:space="preserve">Storage — export consolidation: </w:t>
      </w:r>
      <w:r>
        <w:rPr>
          <w:rFonts w:ascii="Calibri" w:cs="Calibri" w:eastAsia="Calibri" w:hAnsi="Calibri"/>
          <w:color w:val="1B1B1B"/>
          <w:sz w:val="22"/>
          <w:szCs w:val="22"/>
        </w:rPr>
        <w:t xml:space="preserve">Bulk warehousing at commercial export-aggregation centres; controlled-atmosphere storage for premium consignment management; phosphine fumigation for pest control during long-term storage.</w:t>
      </w:r>
    </w:p>
    <w:p>
      <w:pPr>
        <w:pStyle w:val="ListParagraph"/>
        <w:numPr>
          <w:ilvl w:val="0"/>
          <w:numId w:val="2"/>
        </w:numPr>
        <w:spacing w:after="80" w:line="290"/>
      </w:pPr>
      <w:r>
        <w:rPr>
          <w:rFonts w:ascii="Calibri" w:cs="Calibri" w:eastAsia="Calibri" w:hAnsi="Calibri"/>
          <w:b/>
          <w:bCs/>
          <w:color w:val="1B1B1B"/>
          <w:sz w:val="22"/>
          <w:szCs w:val="22"/>
        </w:rPr>
        <w:t xml:space="preserve">Storage — smallholder: </w:t>
      </w:r>
      <w:r>
        <w:rPr>
          <w:rFonts w:ascii="Calibri" w:cs="Calibri" w:eastAsia="Calibri" w:hAnsi="Calibri"/>
          <w:color w:val="1B1B1B"/>
          <w:sz w:val="22"/>
          <w:szCs w:val="22"/>
        </w:rPr>
        <w:t xml:space="preserve">Polypropylene bags; emerging PICS bag adoption; clay-pot traditional storage in some regional traditions.</w:t>
      </w:r>
    </w:p>
    <w:p>
      <w:pPr>
        <w:pStyle w:val="ListParagraph"/>
        <w:numPr>
          <w:ilvl w:val="0"/>
          <w:numId w:val="2"/>
        </w:numPr>
        <w:spacing w:after="80" w:line="290"/>
      </w:pPr>
      <w:r>
        <w:rPr>
          <w:rFonts w:ascii="Calibri" w:cs="Calibri" w:eastAsia="Calibri" w:hAnsi="Calibri"/>
          <w:b/>
          <w:bCs/>
          <w:color w:val="1B1B1B"/>
          <w:sz w:val="22"/>
          <w:szCs w:val="22"/>
        </w:rPr>
        <w:t xml:space="preserve">Pest control: </w:t>
      </w:r>
      <w:r>
        <w:rPr>
          <w:rFonts w:ascii="Calibri" w:cs="Calibri" w:eastAsia="Calibri" w:hAnsi="Calibri"/>
          <w:color w:val="1B1B1B"/>
          <w:sz w:val="22"/>
          <w:szCs w:val="22"/>
        </w:rPr>
        <w:t xml:space="preserve">Bruchid pressure (Callosobruchus chinensis principally); some grain moth pressure. Hermetic storage and phosphine fumigation are principal controls; export-grade typically uses methyl bromide or phosphine pre-shipment fumigation.</w:t>
      </w:r>
    </w:p>
    <w:p>
      <w:pPr>
        <w:pStyle w:val="Heading3"/>
        <w:spacing w:after="60" w:before="160"/>
      </w:pPr>
      <w:r>
        <w:rPr>
          <w:rFonts w:ascii="Calibri" w:cs="Calibri" w:eastAsia="Calibri" w:hAnsi="Calibri"/>
          <w:b/>
          <w:bCs/>
          <w:color w:val="1B1B1B"/>
          <w:sz w:val="23"/>
          <w:szCs w:val="23"/>
        </w:rPr>
        <w:t xml:space="preserve">The processing &amp; value-add landscape</w:t>
      </w:r>
    </w:p>
    <w:p>
      <w:pPr>
        <w:pStyle w:val="ListParagraph"/>
        <w:numPr>
          <w:ilvl w:val="0"/>
          <w:numId w:val="2"/>
        </w:numPr>
        <w:spacing w:after="80" w:line="290"/>
      </w:pPr>
      <w:r>
        <w:rPr>
          <w:rFonts w:ascii="Calibri" w:cs="Calibri" w:eastAsia="Calibri" w:hAnsi="Calibri"/>
          <w:b/>
          <w:bCs/>
          <w:color w:val="1B1B1B"/>
          <w:sz w:val="22"/>
          <w:szCs w:val="22"/>
        </w:rPr>
        <w:t xml:space="preserve">Sorting, grading and bagging for export (the dominant commercial channel): </w:t>
      </w:r>
      <w:r>
        <w:rPr>
          <w:rFonts w:ascii="Calibri" w:cs="Calibri" w:eastAsia="Calibri" w:hAnsi="Calibri"/>
          <w:color w:val="1B1B1B"/>
          <w:sz w:val="22"/>
          <w:szCs w:val="22"/>
        </w:rPr>
        <w:t xml:space="preserve">Most regional pigeon pea trade moves as graded whole-bean export consignment to India. ETG, Olam Tanzania, AGCOT-cluster operators in Mbeya-Iringa, and Indian-trader-affiliated regional companies anchor the export consolidation infrastructure.</w:t>
      </w:r>
    </w:p>
    <w:p>
      <w:pPr>
        <w:pStyle w:val="ListParagraph"/>
        <w:numPr>
          <w:ilvl w:val="0"/>
          <w:numId w:val="2"/>
        </w:numPr>
        <w:spacing w:after="80" w:line="290"/>
      </w:pPr>
      <w:r>
        <w:rPr>
          <w:rFonts w:ascii="Calibri" w:cs="Calibri" w:eastAsia="Calibri" w:hAnsi="Calibri"/>
          <w:b/>
          <w:bCs/>
          <w:color w:val="1B1B1B"/>
          <w:sz w:val="22"/>
          <w:szCs w:val="22"/>
        </w:rPr>
        <w:t xml:space="preserve">Domestic dahl production (the secondary channel): </w:t>
      </w:r>
      <w:r>
        <w:rPr>
          <w:rFonts w:ascii="Calibri" w:cs="Calibri" w:eastAsia="Calibri" w:hAnsi="Calibri"/>
          <w:color w:val="1B1B1B"/>
          <w:sz w:val="22"/>
          <w:szCs w:val="22"/>
        </w:rPr>
        <w:t xml:space="preserve">Splitting and dehulling pigeon peas to produce dahl (split pulse) for regional retail markets; modest scale relative to whole-bean export. Some commercial operators in Tanzania, Kenya, and Uganda; emerging regional dahl brands.</w:t>
      </w:r>
    </w:p>
    <w:p>
      <w:pPr>
        <w:pStyle w:val="ListParagraph"/>
        <w:numPr>
          <w:ilvl w:val="0"/>
          <w:numId w:val="2"/>
        </w:numPr>
        <w:spacing w:after="80" w:line="290"/>
      </w:pPr>
      <w:r>
        <w:rPr>
          <w:rFonts w:ascii="Calibri" w:cs="Calibri" w:eastAsia="Calibri" w:hAnsi="Calibri"/>
          <w:b/>
          <w:bCs/>
          <w:color w:val="1B1B1B"/>
          <w:sz w:val="22"/>
          <w:szCs w:val="22"/>
        </w:rPr>
        <w:t xml:space="preserve">Pigeon pea flour: </w:t>
      </w:r>
      <w:r>
        <w:rPr>
          <w:rFonts w:ascii="Calibri" w:cs="Calibri" w:eastAsia="Calibri" w:hAnsi="Calibri"/>
          <w:color w:val="1B1B1B"/>
          <w:sz w:val="22"/>
          <w:szCs w:val="22"/>
        </w:rPr>
        <w:t xml:space="preserve">Limited regional commercial scale; emerging premium-niche pigeon-pea-and-millet weaning food formulations.</w:t>
      </w:r>
    </w:p>
    <w:p>
      <w:pPr>
        <w:pStyle w:val="ListParagraph"/>
        <w:numPr>
          <w:ilvl w:val="0"/>
          <w:numId w:val="2"/>
        </w:numPr>
        <w:spacing w:after="80" w:line="290"/>
      </w:pPr>
      <w:r>
        <w:rPr>
          <w:rFonts w:ascii="Calibri" w:cs="Calibri" w:eastAsia="Calibri" w:hAnsi="Calibri"/>
          <w:b/>
          <w:bCs/>
          <w:color w:val="1B1B1B"/>
          <w:sz w:val="22"/>
          <w:szCs w:val="22"/>
        </w:rPr>
        <w:t xml:space="preserve">Animal feed (split, broken, off-grade): </w:t>
      </w:r>
      <w:r>
        <w:rPr>
          <w:rFonts w:ascii="Calibri" w:cs="Calibri" w:eastAsia="Calibri" w:hAnsi="Calibri"/>
          <w:color w:val="1B1B1B"/>
          <w:sz w:val="22"/>
          <w:szCs w:val="22"/>
        </w:rPr>
        <w:t xml:space="preserve">Off-grade and split pigeon peas as poultry-and-livestock-feed protein input; pigeon pea haulm as fodder.</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Pre-cooked dehydrated pigeon pea convenience products (limited current scale); emerging plant-protein-based product lines.</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Moisture content: 12.5% maximum for safe storage; 12% for export-grade.</w:t>
      </w:r>
    </w:p>
    <w:p>
      <w:pPr>
        <w:pStyle w:val="ListParagraph"/>
        <w:numPr>
          <w:ilvl w:val="0"/>
          <w:numId w:val="2"/>
        </w:numPr>
        <w:spacing w:after="80" w:line="290"/>
      </w:pPr>
      <w:r>
        <w:rPr>
          <w:rFonts w:ascii="Calibri" w:cs="Calibri" w:eastAsia="Calibri" w:hAnsi="Calibri"/>
          <w:color w:val="1B1B1B"/>
          <w:sz w:val="22"/>
          <w:szCs w:val="22"/>
        </w:rPr>
        <w:t xml:space="preserve">Foreign matter: typically maximum 0.5–1% for export-grade; tighter for premium India-buyer specifications.</w:t>
      </w:r>
    </w:p>
    <w:p>
      <w:pPr>
        <w:pStyle w:val="ListParagraph"/>
        <w:numPr>
          <w:ilvl w:val="0"/>
          <w:numId w:val="2"/>
        </w:numPr>
        <w:spacing w:after="80" w:line="290"/>
      </w:pPr>
      <w:r>
        <w:rPr>
          <w:rFonts w:ascii="Calibri" w:cs="Calibri" w:eastAsia="Calibri" w:hAnsi="Calibri"/>
          <w:color w:val="1B1B1B"/>
          <w:sz w:val="22"/>
          <w:szCs w:val="22"/>
        </w:rPr>
        <w:t xml:space="preserve">Damaged seeds: typically maximum 2–3% for export-grade.</w:t>
      </w:r>
    </w:p>
    <w:p>
      <w:pPr>
        <w:pStyle w:val="ListParagraph"/>
        <w:numPr>
          <w:ilvl w:val="0"/>
          <w:numId w:val="2"/>
        </w:numPr>
        <w:spacing w:after="80" w:line="290"/>
      </w:pPr>
      <w:r>
        <w:rPr>
          <w:rFonts w:ascii="Calibri" w:cs="Calibri" w:eastAsia="Calibri" w:hAnsi="Calibri"/>
          <w:color w:val="1B1B1B"/>
          <w:sz w:val="22"/>
          <w:szCs w:val="22"/>
        </w:rPr>
        <w:t xml:space="preserve">Splits and broken seeds: typically maximum 5% for premium whole-grain-grade; higher tolerance for dahl-grade.</w:t>
      </w:r>
    </w:p>
    <w:p>
      <w:pPr>
        <w:pStyle w:val="ListParagraph"/>
        <w:numPr>
          <w:ilvl w:val="0"/>
          <w:numId w:val="2"/>
        </w:numPr>
        <w:spacing w:after="80" w:line="290"/>
      </w:pPr>
      <w:r>
        <w:rPr>
          <w:rFonts w:ascii="Calibri" w:cs="Calibri" w:eastAsia="Calibri" w:hAnsi="Calibri"/>
          <w:color w:val="1B1B1B"/>
          <w:sz w:val="22"/>
          <w:szCs w:val="22"/>
        </w:rPr>
        <w:t xml:space="preserve">Class purity: typically minimum 95% single-class for premium-grade.</w:t>
      </w:r>
    </w:p>
    <w:p>
      <w:pPr>
        <w:pStyle w:val="ListParagraph"/>
        <w:numPr>
          <w:ilvl w:val="0"/>
          <w:numId w:val="2"/>
        </w:numPr>
        <w:spacing w:after="80" w:line="290"/>
      </w:pPr>
      <w:r>
        <w:rPr>
          <w:rFonts w:ascii="Calibri" w:cs="Calibri" w:eastAsia="Calibri" w:hAnsi="Calibri"/>
          <w:color w:val="1B1B1B"/>
          <w:sz w:val="22"/>
          <w:szCs w:val="22"/>
        </w:rPr>
        <w:t xml:space="preserve">Certification: KEBS, TBS, UNBS standards; export-grade requires phytosanitary certification and India-buyer-specific quality documentation.</w:t>
      </w:r>
    </w:p>
    <w:p>
      <w:pPr>
        <w:pStyle w:val="Heading3"/>
        <w:spacing w:after="60" w:before="160"/>
      </w:pPr>
      <w:r>
        <w:rPr>
          <w:rFonts w:ascii="Calibri" w:cs="Calibri" w:eastAsia="Calibri" w:hAnsi="Calibri"/>
          <w:b/>
          <w:bCs/>
          <w:color w:val="1B1B1B"/>
          <w:sz w:val="23"/>
          <w:szCs w:val="23"/>
        </w:rPr>
        <w:t xml:space="preserve">Where to source equipment, services, and processors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Equipment: KALRO Katumani-linked networks. Storage: PICS bag distributors. Aggregators: Smart Logistics Solutions; ETG Kenya; cooperative networks in Eastern Region (Kitui, Tharaka-Nithi, Makueni); emerging premium-niche dahl operators.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Equipment: TARI Selian and TARI Naliendele-linked networks; TEMDO. Storage: PICS bag distributors; A to Z Textile Mills. Export aggregators: Export Trading Group (ETG — the regional anchor); Olam Tanzania; ETC Group; AGCOT-cluster aggregators across Mbeya, Iringa, Mufindi, Songea, Lindi-Mtwara; emerging Indian-trader-affiliated companies; Tanzania Pulses Network coordination.</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Equipment: NaSARRI-linked networks. Aggregators: ETG Uganda; emerging Northern and Eastern Region cooperative networks.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Equipment: regional imports. Aggregators: limited; emerging cooperative networks.</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Equipment: regional imports. Aggregators: limited; informal cooperative networks.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Pigeon pea post-harvest is the regional consolidated commercial-export infrastructure success story — export aggregators have built a functional Tanzania-and-Kenya-to-India consolidation channel with quality-graded discipline. The structural opportunity is geographic and demographic extension into Uganda’s emerging production zones and into Rwandan-and-Burundian highland zones where agro-ecological fit exists.</w:t>
      </w:r>
    </w:p>
    <w:p>
      <w:pPr>
        <w:spacing w:after="120" w:line="300"/>
      </w:pPr>
      <w:r>
        <w:rPr>
          <w:rFonts w:ascii="Calibri" w:cs="Calibri" w:eastAsia="Calibri" w:hAnsi="Calibri"/>
          <w:color w:val="1B1B1B"/>
          <w:sz w:val="22"/>
          <w:szCs w:val="22"/>
        </w:rPr>
        <w:t xml:space="preserve">For pigeon pea producers in Tanzania’s production heartland (Lindi-Mtwara, Songea, Mbeya, Iringa), the actionable rule is participation in ETG-or-Olam-affiliated export aggregator networks with quality-graded payment. For Kenyan producers in Eastern Region, similar structures operate through Smart Logistics Solutions and ETG Kenya. For impact investors and commercial operators, the regional dahl-and-flour value-add infrastructure remains under-developed relative to the underlying production volumes and represents a clear available commercial-development opportunity.</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05</w:t>
            </w:r>
          </w:p>
          <w:p>
            <w:pPr>
              <w:spacing w:after="40"/>
            </w:pPr>
            <w:r>
              <w:rPr>
                <w:rFonts w:ascii="Calibri" w:cs="Calibri" w:eastAsia="Calibri" w:hAnsi="Calibri"/>
                <w:b/>
                <w:bCs/>
                <w:color w:val="FFFFFF"/>
                <w:sz w:val="36"/>
                <w:szCs w:val="36"/>
              </w:rPr>
              <w:t xml:space="preserve">Chickpeas</w:t>
            </w:r>
          </w:p>
          <w:p>
            <w:r>
              <w:rPr>
                <w:rFonts w:ascii="Calibri" w:cs="Calibri" w:eastAsia="Calibri" w:hAnsi="Calibri"/>
                <w:i/>
                <w:iCs/>
                <w:color w:val="FFFFFF"/>
                <w:sz w:val="20"/>
                <w:szCs w:val="20"/>
              </w:rPr>
              <w:t xml:space="preserve">Cicer arietinum</w:t>
            </w:r>
            <w:r>
              <w:rPr>
                <w:rFonts w:ascii="Calibri" w:cs="Calibri" w:eastAsia="Calibri" w:hAnsi="Calibri"/>
                <w:color w:val="FFFFFF"/>
                <w:sz w:val="20"/>
                <w:szCs w:val="20"/>
              </w:rPr>
              <w:t xml:space="preserve">   •   Dengu (Sw)  •  Mbaazi-msitu (Sw, regional)  •  The Indian-export legume</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LOSS RANGE</w:t>
            </w:r>
          </w:p>
          <w:p>
            <w:r>
              <w:rPr>
                <w:rFonts w:ascii="Calibri" w:cs="Calibri" w:eastAsia="Calibri" w:hAnsi="Calibri"/>
                <w:color w:val="1B1B1B"/>
                <w:sz w:val="20"/>
                <w:szCs w:val="20"/>
              </w:rPr>
              <w:t xml:space="preserve">10–20% post-harvest loss (smallholder); 3–7% (commercial export-grade)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DRYING TARGET</w:t>
            </w:r>
          </w:p>
          <w:p>
            <w:r>
              <w:rPr>
                <w:rFonts w:ascii="Calibri" w:cs="Calibri" w:eastAsia="Calibri" w:hAnsi="Calibri"/>
                <w:color w:val="1B1B1B"/>
                <w:sz w:val="20"/>
                <w:szCs w:val="20"/>
              </w:rPr>
              <w:t xml:space="preserve">10–12% moisture content for safe storage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STORAGE APPROACH</w:t>
            </w:r>
          </w:p>
          <w:p>
            <w:r>
              <w:rPr>
                <w:rFonts w:ascii="Calibri" w:cs="Calibri" w:eastAsia="Calibri" w:hAnsi="Calibri"/>
                <w:color w:val="1B1B1B"/>
                <w:sz w:val="20"/>
                <w:szCs w:val="20"/>
              </w:rPr>
              <w:t xml:space="preserve">Polypropylene bags; emerging PICS adoption; bulk warehousing for export</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Lake Zone &amp; Northern TZ (expanding); Mt Kenya KE (limited); minor UG; minor RW &amp; BI</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Chickpeas are East Africa’s emerging export-oriented legume, anchored by Tanzanian production growth through the 2010s and 2020s. Two principal market types divide the regional commercial picture: kabuli chickpea (large, cream-coloured kernels for premium retail and international export) and desi chickpea (smaller, dark-coloured kernels for traditional Indian and regional dahl markets). Tanzania production has grown structurally through Indian-trader-affiliated contracted networks and ICRISAT-supported breeding pipelines; Kenya production is modest; Uganda, Rwanda and Burundi production is minor.</w:t>
      </w:r>
    </w:p>
    <w:p>
      <w:pPr>
        <w:spacing w:after="120" w:line="300"/>
      </w:pPr>
      <w:r>
        <w:rPr>
          <w:rFonts w:ascii="Calibri" w:cs="Calibri" w:eastAsia="Calibri" w:hAnsi="Calibri"/>
          <w:color w:val="1B1B1B"/>
          <w:sz w:val="22"/>
          <w:szCs w:val="22"/>
        </w:rPr>
        <w:t xml:space="preserve">Chickpea post-harvest economics are dominated by export-grade specifications and by sorting-and-grading discipline. Premium kabuli kernel-grade chickpea commands 40–80% over mixed-grade regional trade; the sorting infrastructure at cooperative and commercial scale determines whether smallholder producers capture this premium or surrender it to mid-stream aggregators. Indian buyer demand provides structural absorptive capacity; emerging European and Middle Eastern premium retail markets provide upside trajectory.</w:t>
      </w:r>
    </w:p>
    <w:p>
      <w:pPr>
        <w:pStyle w:val="Heading3"/>
        <w:spacing w:after="60" w:before="160"/>
      </w:pPr>
      <w:r>
        <w:rPr>
          <w:rFonts w:ascii="Calibri" w:cs="Calibri" w:eastAsia="Calibri" w:hAnsi="Calibri"/>
          <w:b/>
          <w:bCs/>
          <w:color w:val="1B1B1B"/>
          <w:sz w:val="23"/>
          <w:szCs w:val="23"/>
        </w:rPr>
        <w:t xml:space="preserve">The post-harvest landscape: harvest, drying, storage</w:t>
      </w:r>
    </w:p>
    <w:p>
      <w:pPr>
        <w:pStyle w:val="ListParagraph"/>
        <w:numPr>
          <w:ilvl w:val="0"/>
          <w:numId w:val="2"/>
        </w:numPr>
        <w:spacing w:after="80" w:line="290"/>
      </w:pPr>
      <w:r>
        <w:rPr>
          <w:rFonts w:ascii="Calibri" w:cs="Calibri" w:eastAsia="Calibri" w:hAnsi="Calibri"/>
          <w:b/>
          <w:bCs/>
          <w:color w:val="1B1B1B"/>
          <w:sz w:val="22"/>
          <w:szCs w:val="22"/>
        </w:rPr>
        <w:t xml:space="preserve">Harvest timing: </w:t>
      </w:r>
      <w:r>
        <w:rPr>
          <w:rFonts w:ascii="Calibri" w:cs="Calibri" w:eastAsia="Calibri" w:hAnsi="Calibri"/>
          <w:color w:val="1B1B1B"/>
          <w:sz w:val="22"/>
          <w:szCs w:val="22"/>
        </w:rPr>
        <w:t xml:space="preserve">Harvest at full pod maturity when 90–95% of pods are dry; chickpea is generally a dry-season harvest in regional production calendars.</w:t>
      </w:r>
    </w:p>
    <w:p>
      <w:pPr>
        <w:pStyle w:val="ListParagraph"/>
        <w:numPr>
          <w:ilvl w:val="0"/>
          <w:numId w:val="2"/>
        </w:numPr>
        <w:spacing w:after="80" w:line="290"/>
      </w:pPr>
      <w:r>
        <w:rPr>
          <w:rFonts w:ascii="Calibri" w:cs="Calibri" w:eastAsia="Calibri" w:hAnsi="Calibri"/>
          <w:b/>
          <w:bCs/>
          <w:color w:val="1B1B1B"/>
          <w:sz w:val="22"/>
          <w:szCs w:val="22"/>
        </w:rPr>
        <w:t xml:space="preserve">Threshing: </w:t>
      </w:r>
      <w:r>
        <w:rPr>
          <w:rFonts w:ascii="Calibri" w:cs="Calibri" w:eastAsia="Calibri" w:hAnsi="Calibri"/>
          <w:color w:val="1B1B1B"/>
          <w:sz w:val="22"/>
          <w:szCs w:val="22"/>
        </w:rPr>
        <w:t xml:space="preserve">Hand-threshing on tarps at smallholder scale; mechanical threshing at cooperative and commercial scale; combine harvesting at large-commercial scale.</w:t>
      </w:r>
    </w:p>
    <w:p>
      <w:pPr>
        <w:pStyle w:val="ListParagraph"/>
        <w:numPr>
          <w:ilvl w:val="0"/>
          <w:numId w:val="2"/>
        </w:numPr>
        <w:spacing w:after="80" w:line="290"/>
      </w:pPr>
      <w:r>
        <w:rPr>
          <w:rFonts w:ascii="Calibri" w:cs="Calibri" w:eastAsia="Calibri" w:hAnsi="Calibri"/>
          <w:b/>
          <w:bCs/>
          <w:color w:val="1B1B1B"/>
          <w:sz w:val="22"/>
          <w:szCs w:val="22"/>
        </w:rPr>
        <w:t xml:space="preserve">Drying: </w:t>
      </w:r>
      <w:r>
        <w:rPr>
          <w:rFonts w:ascii="Calibri" w:cs="Calibri" w:eastAsia="Calibri" w:hAnsi="Calibri"/>
          <w:color w:val="1B1B1B"/>
          <w:sz w:val="22"/>
          <w:szCs w:val="22"/>
        </w:rPr>
        <w:t xml:space="preserve">Sun-drying to 10–12% moisture for safe storage; chickpeas dry readily and store well.</w:t>
      </w:r>
    </w:p>
    <w:p>
      <w:pPr>
        <w:pStyle w:val="ListParagraph"/>
        <w:numPr>
          <w:ilvl w:val="0"/>
          <w:numId w:val="2"/>
        </w:numPr>
        <w:spacing w:after="80" w:line="290"/>
      </w:pPr>
      <w:r>
        <w:rPr>
          <w:rFonts w:ascii="Calibri" w:cs="Calibri" w:eastAsia="Calibri" w:hAnsi="Calibri"/>
          <w:b/>
          <w:bCs/>
          <w:color w:val="1B1B1B"/>
          <w:sz w:val="22"/>
          <w:szCs w:val="22"/>
        </w:rPr>
        <w:t xml:space="preserve">Cleaning and grading (the export-grade step): </w:t>
      </w:r>
      <w:r>
        <w:rPr>
          <w:rFonts w:ascii="Calibri" w:cs="Calibri" w:eastAsia="Calibri" w:hAnsi="Calibri"/>
          <w:color w:val="1B1B1B"/>
          <w:sz w:val="22"/>
          <w:szCs w:val="22"/>
        </w:rPr>
        <w:t xml:space="preserve">Hand-sorting at smallholder scale; mechanical air-screen cleaners, gravity tables and optical colour-sorters at commercial export-aggregation scale. Premium kabuli grade requires uniform large kernel size, cream-cream colour, freedom from defects.</w:t>
      </w:r>
    </w:p>
    <w:p>
      <w:pPr>
        <w:pStyle w:val="ListParagraph"/>
        <w:numPr>
          <w:ilvl w:val="0"/>
          <w:numId w:val="2"/>
        </w:numPr>
        <w:spacing w:after="80" w:line="290"/>
      </w:pPr>
      <w:r>
        <w:rPr>
          <w:rFonts w:ascii="Calibri" w:cs="Calibri" w:eastAsia="Calibri" w:hAnsi="Calibri"/>
          <w:b/>
          <w:bCs/>
          <w:color w:val="1B1B1B"/>
          <w:sz w:val="22"/>
          <w:szCs w:val="22"/>
        </w:rPr>
        <w:t xml:space="preserve">Storage — export consolidation: </w:t>
      </w:r>
      <w:r>
        <w:rPr>
          <w:rFonts w:ascii="Calibri" w:cs="Calibri" w:eastAsia="Calibri" w:hAnsi="Calibri"/>
          <w:color w:val="1B1B1B"/>
          <w:sz w:val="22"/>
          <w:szCs w:val="22"/>
        </w:rPr>
        <w:t xml:space="preserve">Bulk warehousing at commercial aggregation centres; phosphine fumigation; emerging modified-atmosphere storage for premium consignment management.</w:t>
      </w:r>
    </w:p>
    <w:p>
      <w:pPr>
        <w:pStyle w:val="ListParagraph"/>
        <w:numPr>
          <w:ilvl w:val="0"/>
          <w:numId w:val="2"/>
        </w:numPr>
        <w:spacing w:after="80" w:line="290"/>
      </w:pPr>
      <w:r>
        <w:rPr>
          <w:rFonts w:ascii="Calibri" w:cs="Calibri" w:eastAsia="Calibri" w:hAnsi="Calibri"/>
          <w:b/>
          <w:bCs/>
          <w:color w:val="1B1B1B"/>
          <w:sz w:val="22"/>
          <w:szCs w:val="22"/>
        </w:rPr>
        <w:t xml:space="preserve">Storage — smallholder: </w:t>
      </w:r>
      <w:r>
        <w:rPr>
          <w:rFonts w:ascii="Calibri" w:cs="Calibri" w:eastAsia="Calibri" w:hAnsi="Calibri"/>
          <w:color w:val="1B1B1B"/>
          <w:sz w:val="22"/>
          <w:szCs w:val="22"/>
        </w:rPr>
        <w:t xml:space="preserve">Polypropylene bags; emerging PICS bag adoption.</w:t>
      </w:r>
    </w:p>
    <w:p>
      <w:pPr>
        <w:pStyle w:val="ListParagraph"/>
        <w:numPr>
          <w:ilvl w:val="0"/>
          <w:numId w:val="2"/>
        </w:numPr>
        <w:spacing w:after="80" w:line="290"/>
      </w:pPr>
      <w:r>
        <w:rPr>
          <w:rFonts w:ascii="Calibri" w:cs="Calibri" w:eastAsia="Calibri" w:hAnsi="Calibri"/>
          <w:b/>
          <w:bCs/>
          <w:color w:val="1B1B1B"/>
          <w:sz w:val="22"/>
          <w:szCs w:val="22"/>
        </w:rPr>
        <w:t xml:space="preserve">Pest control: </w:t>
      </w:r>
      <w:r>
        <w:rPr>
          <w:rFonts w:ascii="Calibri" w:cs="Calibri" w:eastAsia="Calibri" w:hAnsi="Calibri"/>
          <w:color w:val="1B1B1B"/>
          <w:sz w:val="22"/>
          <w:szCs w:val="22"/>
        </w:rPr>
        <w:t xml:space="preserve">Bruchid pressure (Callosobruchus chinensis); some grain moth pressure. Hermetic storage and fumigation are principal controls.</w:t>
      </w:r>
    </w:p>
    <w:p>
      <w:pPr>
        <w:pStyle w:val="Heading3"/>
        <w:spacing w:after="60" w:before="160"/>
      </w:pPr>
      <w:r>
        <w:rPr>
          <w:rFonts w:ascii="Calibri" w:cs="Calibri" w:eastAsia="Calibri" w:hAnsi="Calibri"/>
          <w:b/>
          <w:bCs/>
          <w:color w:val="1B1B1B"/>
          <w:sz w:val="23"/>
          <w:szCs w:val="23"/>
        </w:rPr>
        <w:t xml:space="preserve">The processing &amp; value-add landscape</w:t>
      </w:r>
    </w:p>
    <w:p>
      <w:pPr>
        <w:pStyle w:val="ListParagraph"/>
        <w:numPr>
          <w:ilvl w:val="0"/>
          <w:numId w:val="2"/>
        </w:numPr>
        <w:spacing w:after="80" w:line="290"/>
      </w:pPr>
      <w:r>
        <w:rPr>
          <w:rFonts w:ascii="Calibri" w:cs="Calibri" w:eastAsia="Calibri" w:hAnsi="Calibri"/>
          <w:b/>
          <w:bCs/>
          <w:color w:val="1B1B1B"/>
          <w:sz w:val="22"/>
          <w:szCs w:val="22"/>
        </w:rPr>
        <w:t xml:space="preserve">Sorting, grading and bagging for export (the dominant commercial channel): </w:t>
      </w:r>
      <w:r>
        <w:rPr>
          <w:rFonts w:ascii="Calibri" w:cs="Calibri" w:eastAsia="Calibri" w:hAnsi="Calibri"/>
          <w:color w:val="1B1B1B"/>
          <w:sz w:val="22"/>
          <w:szCs w:val="22"/>
        </w:rPr>
        <w:t xml:space="preserve">Kabuli kernel grading and packaging for India, Pakistan, EU and emerging Middle Eastern retail markets. Major aggregators: ETG; Olam Tanzania; Indian-trader-affiliated regional operators.</w:t>
      </w:r>
    </w:p>
    <w:p>
      <w:pPr>
        <w:pStyle w:val="ListParagraph"/>
        <w:numPr>
          <w:ilvl w:val="0"/>
          <w:numId w:val="2"/>
        </w:numPr>
        <w:spacing w:after="80" w:line="290"/>
      </w:pPr>
      <w:r>
        <w:rPr>
          <w:rFonts w:ascii="Calibri" w:cs="Calibri" w:eastAsia="Calibri" w:hAnsi="Calibri"/>
          <w:b/>
          <w:bCs/>
          <w:color w:val="1B1B1B"/>
          <w:sz w:val="22"/>
          <w:szCs w:val="22"/>
        </w:rPr>
        <w:t xml:space="preserve">Domestic dahl and chickpea-flour production: </w:t>
      </w:r>
      <w:r>
        <w:rPr>
          <w:rFonts w:ascii="Calibri" w:cs="Calibri" w:eastAsia="Calibri" w:hAnsi="Calibri"/>
          <w:color w:val="1B1B1B"/>
          <w:sz w:val="22"/>
          <w:szCs w:val="22"/>
        </w:rPr>
        <w:t xml:space="preserve">Splitting and dehulling chickpeas for dahl; milling for chickpea flour (besan / gram flour) used in regional South Asian community markets and emerging premium-retail applications. Limited current commercial scale relative to underlying production volumes.</w:t>
      </w:r>
    </w:p>
    <w:p>
      <w:pPr>
        <w:pStyle w:val="ListParagraph"/>
        <w:numPr>
          <w:ilvl w:val="0"/>
          <w:numId w:val="2"/>
        </w:numPr>
        <w:spacing w:after="80" w:line="290"/>
      </w:pPr>
      <w:r>
        <w:rPr>
          <w:rFonts w:ascii="Calibri" w:cs="Calibri" w:eastAsia="Calibri" w:hAnsi="Calibri"/>
          <w:b/>
          <w:bCs/>
          <w:color w:val="1B1B1B"/>
          <w:sz w:val="22"/>
          <w:szCs w:val="22"/>
        </w:rPr>
        <w:t xml:space="preserve">Hummus and chickpea-based product lines: </w:t>
      </w:r>
      <w:r>
        <w:rPr>
          <w:rFonts w:ascii="Calibri" w:cs="Calibri" w:eastAsia="Calibri" w:hAnsi="Calibri"/>
          <w:color w:val="1B1B1B"/>
          <w:sz w:val="22"/>
          <w:szCs w:val="22"/>
        </w:rPr>
        <w:t xml:space="preserve">Emerging regional commercial category; principally premium-retail focused. Limited current scale but rising trajectory through 2024–2026.</w:t>
      </w:r>
    </w:p>
    <w:p>
      <w:pPr>
        <w:pStyle w:val="ListParagraph"/>
        <w:numPr>
          <w:ilvl w:val="0"/>
          <w:numId w:val="2"/>
        </w:numPr>
        <w:spacing w:after="80" w:line="290"/>
      </w:pPr>
      <w:r>
        <w:rPr>
          <w:rFonts w:ascii="Calibri" w:cs="Calibri" w:eastAsia="Calibri" w:hAnsi="Calibri"/>
          <w:b/>
          <w:bCs/>
          <w:color w:val="1B1B1B"/>
          <w:sz w:val="22"/>
          <w:szCs w:val="22"/>
        </w:rPr>
        <w:t xml:space="preserve">Roasted and snack chickpea products: </w:t>
      </w:r>
      <w:r>
        <w:rPr>
          <w:rFonts w:ascii="Calibri" w:cs="Calibri" w:eastAsia="Calibri" w:hAnsi="Calibri"/>
          <w:color w:val="1B1B1B"/>
          <w:sz w:val="22"/>
          <w:szCs w:val="22"/>
        </w:rPr>
        <w:t xml:space="preserve">Emerging premium-snack regional commercial category; modest current scale.</w:t>
      </w:r>
    </w:p>
    <w:p>
      <w:pPr>
        <w:pStyle w:val="ListParagraph"/>
        <w:numPr>
          <w:ilvl w:val="0"/>
          <w:numId w:val="2"/>
        </w:numPr>
        <w:spacing w:after="80" w:line="290"/>
      </w:pPr>
      <w:r>
        <w:rPr>
          <w:rFonts w:ascii="Calibri" w:cs="Calibri" w:eastAsia="Calibri" w:hAnsi="Calibri"/>
          <w:b/>
          <w:bCs/>
          <w:color w:val="1B1B1B"/>
          <w:sz w:val="22"/>
          <w:szCs w:val="22"/>
        </w:rPr>
        <w:t xml:space="preserve">Animal feed (off-grade, splits, broken): </w:t>
      </w:r>
      <w:r>
        <w:rPr>
          <w:rFonts w:ascii="Calibri" w:cs="Calibri" w:eastAsia="Calibri" w:hAnsi="Calibri"/>
          <w:color w:val="1B1B1B"/>
          <w:sz w:val="22"/>
          <w:szCs w:val="22"/>
        </w:rPr>
        <w:t xml:space="preserve">Off-grade chickpea as livestock-feed protein input; chickpea haulm as fodder.</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Moisture content: 12% maximum for safe storage; 11% for export-grade.</w:t>
      </w:r>
    </w:p>
    <w:p>
      <w:pPr>
        <w:pStyle w:val="ListParagraph"/>
        <w:numPr>
          <w:ilvl w:val="0"/>
          <w:numId w:val="2"/>
        </w:numPr>
        <w:spacing w:after="80" w:line="290"/>
      </w:pPr>
      <w:r>
        <w:rPr>
          <w:rFonts w:ascii="Calibri" w:cs="Calibri" w:eastAsia="Calibri" w:hAnsi="Calibri"/>
          <w:color w:val="1B1B1B"/>
          <w:sz w:val="22"/>
          <w:szCs w:val="22"/>
        </w:rPr>
        <w:t xml:space="preserve">Foreign matter: typically maximum 0.5% for export-grade.</w:t>
      </w:r>
    </w:p>
    <w:p>
      <w:pPr>
        <w:pStyle w:val="ListParagraph"/>
        <w:numPr>
          <w:ilvl w:val="0"/>
          <w:numId w:val="2"/>
        </w:numPr>
        <w:spacing w:after="80" w:line="290"/>
      </w:pPr>
      <w:r>
        <w:rPr>
          <w:rFonts w:ascii="Calibri" w:cs="Calibri" w:eastAsia="Calibri" w:hAnsi="Calibri"/>
          <w:color w:val="1B1B1B"/>
          <w:sz w:val="22"/>
          <w:szCs w:val="22"/>
        </w:rPr>
        <w:t xml:space="preserve">Damaged seeds: typically maximum 2–3% for export-grade.</w:t>
      </w:r>
    </w:p>
    <w:p>
      <w:pPr>
        <w:pStyle w:val="ListParagraph"/>
        <w:numPr>
          <w:ilvl w:val="0"/>
          <w:numId w:val="2"/>
        </w:numPr>
        <w:spacing w:after="80" w:line="290"/>
      </w:pPr>
      <w:r>
        <w:rPr>
          <w:rFonts w:ascii="Calibri" w:cs="Calibri" w:eastAsia="Calibri" w:hAnsi="Calibri"/>
          <w:color w:val="1B1B1B"/>
          <w:sz w:val="22"/>
          <w:szCs w:val="22"/>
        </w:rPr>
        <w:t xml:space="preserve">Kernel size grading: kabuli typically graded 7–9mm, 8–10mm, 9–11mm; desi typically graded 5–7mm.</w:t>
      </w:r>
    </w:p>
    <w:p>
      <w:pPr>
        <w:pStyle w:val="ListParagraph"/>
        <w:numPr>
          <w:ilvl w:val="0"/>
          <w:numId w:val="2"/>
        </w:numPr>
        <w:spacing w:after="80" w:line="290"/>
      </w:pPr>
      <w:r>
        <w:rPr>
          <w:rFonts w:ascii="Calibri" w:cs="Calibri" w:eastAsia="Calibri" w:hAnsi="Calibri"/>
          <w:color w:val="1B1B1B"/>
          <w:sz w:val="22"/>
          <w:szCs w:val="22"/>
        </w:rPr>
        <w:t xml:space="preserve">Class purity: typically minimum 95% single-class for premium-grade.</w:t>
      </w:r>
    </w:p>
    <w:p>
      <w:pPr>
        <w:pStyle w:val="ListParagraph"/>
        <w:numPr>
          <w:ilvl w:val="0"/>
          <w:numId w:val="2"/>
        </w:numPr>
        <w:spacing w:after="80" w:line="290"/>
      </w:pPr>
      <w:r>
        <w:rPr>
          <w:rFonts w:ascii="Calibri" w:cs="Calibri" w:eastAsia="Calibri" w:hAnsi="Calibri"/>
          <w:color w:val="1B1B1B"/>
          <w:sz w:val="22"/>
          <w:szCs w:val="22"/>
        </w:rPr>
        <w:t xml:space="preserve">Certification: KEBS, TBS, UNBS standards; export-grade requires phytosanitary and origin documentation.</w:t>
      </w:r>
    </w:p>
    <w:p>
      <w:pPr>
        <w:pStyle w:val="Heading3"/>
        <w:spacing w:after="60" w:before="160"/>
      </w:pPr>
      <w:r>
        <w:rPr>
          <w:rFonts w:ascii="Calibri" w:cs="Calibri" w:eastAsia="Calibri" w:hAnsi="Calibri"/>
          <w:b/>
          <w:bCs/>
          <w:color w:val="1B1B1B"/>
          <w:sz w:val="23"/>
          <w:szCs w:val="23"/>
        </w:rPr>
        <w:t xml:space="preserve">Where to source equipment, services, and processors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Equipment: KALRO Katumani-linked networks. Storage: PICS bag distributors. Aggregators: Smart Logistics Solutions; emerging cooperative networks.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Equipment: TARI Selian and TARI Hombolo (the regional ICRISAT-affiliated chickpea research centre); TEMDO. Storage: PICS bag distributors; A to Z Textile Mills. Aggregators: Export Trading Group (ETG); Olam Tanzania; AGCOT-cluster operators in Lake Zone and Northern Tanzania; Indian-trader-affiliated regional companies; ICRISAT-Tanzania-supported pilot supply chains.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Equipment: regional suppliers; NaSARRI-linked networks. Aggregators: limited; emerging Eastern Region cooperative networks.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Limited commercial chickpea supply.</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Limited commercial chickpea supply.</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Chickpea post-harvest infrastructure is the regional emerging-export-legume story — Tanzania-anchored production growth, structurally functional Indian-buyer-driven commercial channel, under-developed regional value-add (dahl, flour, hummus) infrastructure relative to underlying production trajectory.</w:t>
      </w:r>
    </w:p>
    <w:p>
      <w:pPr>
        <w:spacing w:after="120" w:line="300"/>
      </w:pPr>
      <w:r>
        <w:rPr>
          <w:rFonts w:ascii="Calibri" w:cs="Calibri" w:eastAsia="Calibri" w:hAnsi="Calibri"/>
          <w:color w:val="1B1B1B"/>
          <w:sz w:val="22"/>
          <w:szCs w:val="22"/>
        </w:rPr>
        <w:t xml:space="preserve">For Tanzanian chickpea producers in Lake Zone and Northern regions, the actionable rule is participation in ETG-or-Olam-affiliated export aggregator networks with kabuli-versus-desi market-class discipline. For impact investors and commercial operators, the regional chickpea-flour-and-hummus value-add infrastructure represents an emerging premium-niche commercial trajectory that warrants structural attention through the next 5–10 years.</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06</w:t>
            </w:r>
          </w:p>
          <w:p>
            <w:pPr>
              <w:spacing w:after="40"/>
            </w:pPr>
            <w:r>
              <w:rPr>
                <w:rFonts w:ascii="Calibri" w:cs="Calibri" w:eastAsia="Calibri" w:hAnsi="Calibri"/>
                <w:b/>
                <w:bCs/>
                <w:color w:val="FFFFFF"/>
                <w:sz w:val="36"/>
                <w:szCs w:val="36"/>
              </w:rPr>
              <w:t xml:space="preserve">Cowpeas</w:t>
            </w:r>
          </w:p>
          <w:p>
            <w:r>
              <w:rPr>
                <w:rFonts w:ascii="Calibri" w:cs="Calibri" w:eastAsia="Calibri" w:hAnsi="Calibri"/>
                <w:i/>
                <w:iCs/>
                <w:color w:val="FFFFFF"/>
                <w:sz w:val="20"/>
                <w:szCs w:val="20"/>
              </w:rPr>
              <w:t xml:space="preserve">Vigna unguiculata</w:t>
            </w:r>
            <w:r>
              <w:rPr>
                <w:rFonts w:ascii="Calibri" w:cs="Calibri" w:eastAsia="Calibri" w:hAnsi="Calibri"/>
                <w:color w:val="FFFFFF"/>
                <w:sz w:val="20"/>
                <w:szCs w:val="20"/>
              </w:rPr>
              <w:t xml:space="preserve">   •   Kunde (Sw)  •  Mbumbu (Sw, regional)  •  The drylands dual-purpose legume</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LOSS RANGE</w:t>
            </w:r>
          </w:p>
          <w:p>
            <w:r>
              <w:rPr>
                <w:rFonts w:ascii="Calibri" w:cs="Calibri" w:eastAsia="Calibri" w:hAnsi="Calibri"/>
                <w:color w:val="1B1B1B"/>
                <w:sz w:val="20"/>
                <w:szCs w:val="20"/>
              </w:rPr>
              <w:t xml:space="preserve">20–40% post-harvest loss (smallholder, including bruchid loss); 5–10% (commercial-grade)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DRYING TARGET</w:t>
            </w:r>
          </w:p>
          <w:p>
            <w:r>
              <w:rPr>
                <w:rFonts w:ascii="Calibri" w:cs="Calibri" w:eastAsia="Calibri" w:hAnsi="Calibri"/>
                <w:color w:val="1B1B1B"/>
                <w:sz w:val="20"/>
                <w:szCs w:val="20"/>
              </w:rPr>
              <w:t xml:space="preserve">12–13% moisture content for safe storage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STORAGE APPROACH</w:t>
            </w:r>
          </w:p>
          <w:p>
            <w:r>
              <w:rPr>
                <w:rFonts w:ascii="Calibri" w:cs="Calibri" w:eastAsia="Calibri" w:hAnsi="Calibri"/>
                <w:color w:val="1B1B1B"/>
                <w:sz w:val="20"/>
                <w:szCs w:val="20"/>
              </w:rPr>
              <w:t xml:space="preserve">PICS bags (the original PICS use-case); polypropylene bags; clay pots traditional</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Eastern KE (Kitui, Makueni, Tharaka-Nithi, Machakos); Coast &amp; Central TZ; Northern UG (Lango, Acholi); minor RW; minor BI</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Cowpeas are East Africa’s drylands dual-purpose legume — producing both grain (a high-protein staple in the production zones where it dominates) and leaves (a leafy vegetable harvested in early growth, covered in detail in Seed Series Issue 10 and Post-Harvest Issue 10). The crop is structurally climate-resilient, productive on marginal soils, and central to regional food security in Eastern Kenya, Coastal and Central Tanzania, Northern Uganda, and emerging Rwandan and Burundian production zones.</w:t>
      </w:r>
    </w:p>
    <w:p>
      <w:pPr>
        <w:spacing w:after="120" w:line="300"/>
      </w:pPr>
      <w:r>
        <w:rPr>
          <w:rFonts w:ascii="Calibri" w:cs="Calibri" w:eastAsia="Calibri" w:hAnsi="Calibri"/>
          <w:color w:val="1B1B1B"/>
          <w:sz w:val="22"/>
          <w:szCs w:val="22"/>
        </w:rPr>
        <w:t xml:space="preserve">Cowpea post-harvest is the foundational regional bruchid-management story. The cowpea bruchid (Callosobruchus maculatus) is one of the most destructive stored-grain pests globally, capable of complete grain destruction within 3–6 months of storage under non-hermetic conditions. Purdue University’s PICS bag programme — the triple-layer hermetic storage technology that has subsequently extended to maize, beans, sorghum and other regional storage applications — was originally developed for cowpea bruchid management in West Africa in the 1980s and 1990s, scaled across Africa from approximately 2007 onwards through USAID and Bill &amp; Melinda Gates Foundation support. Cowpea is therefore the regional crop where hermetic storage adoption has the deepest empirical track record.</w:t>
      </w:r>
    </w:p>
    <w:p>
      <w:pPr>
        <w:pStyle w:val="Heading3"/>
        <w:spacing w:after="60" w:before="160"/>
      </w:pPr>
      <w:r>
        <w:rPr>
          <w:rFonts w:ascii="Calibri" w:cs="Calibri" w:eastAsia="Calibri" w:hAnsi="Calibri"/>
          <w:b/>
          <w:bCs/>
          <w:color w:val="1B1B1B"/>
          <w:sz w:val="23"/>
          <w:szCs w:val="23"/>
        </w:rPr>
        <w:t xml:space="preserve">The post-harvest landscape: harvest, drying, storage</w:t>
      </w:r>
    </w:p>
    <w:p>
      <w:pPr>
        <w:pStyle w:val="ListParagraph"/>
        <w:numPr>
          <w:ilvl w:val="0"/>
          <w:numId w:val="2"/>
        </w:numPr>
        <w:spacing w:after="80" w:line="290"/>
      </w:pPr>
      <w:r>
        <w:rPr>
          <w:rFonts w:ascii="Calibri" w:cs="Calibri" w:eastAsia="Calibri" w:hAnsi="Calibri"/>
          <w:b/>
          <w:bCs/>
          <w:color w:val="1B1B1B"/>
          <w:sz w:val="22"/>
          <w:szCs w:val="22"/>
        </w:rPr>
        <w:t xml:space="preserve">Harvest timing: </w:t>
      </w:r>
      <w:r>
        <w:rPr>
          <w:rFonts w:ascii="Calibri" w:cs="Calibri" w:eastAsia="Calibri" w:hAnsi="Calibri"/>
          <w:color w:val="1B1B1B"/>
          <w:sz w:val="22"/>
          <w:szCs w:val="22"/>
        </w:rPr>
        <w:t xml:space="preserve">Harvest at full pod maturity when 80–90% of pods are dry; cowpea pods can shatter if harvest is delayed beyond full maturity.</w:t>
      </w:r>
    </w:p>
    <w:p>
      <w:pPr>
        <w:pStyle w:val="ListParagraph"/>
        <w:numPr>
          <w:ilvl w:val="0"/>
          <w:numId w:val="2"/>
        </w:numPr>
        <w:spacing w:after="80" w:line="290"/>
      </w:pPr>
      <w:r>
        <w:rPr>
          <w:rFonts w:ascii="Calibri" w:cs="Calibri" w:eastAsia="Calibri" w:hAnsi="Calibri"/>
          <w:b/>
          <w:bCs/>
          <w:color w:val="1B1B1B"/>
          <w:sz w:val="22"/>
          <w:szCs w:val="22"/>
        </w:rPr>
        <w:t xml:space="preserve">Threshing: </w:t>
      </w:r>
      <w:r>
        <w:rPr>
          <w:rFonts w:ascii="Calibri" w:cs="Calibri" w:eastAsia="Calibri" w:hAnsi="Calibri"/>
          <w:color w:val="1B1B1B"/>
          <w:sz w:val="22"/>
          <w:szCs w:val="22"/>
        </w:rPr>
        <w:t xml:space="preserve">Hand-threshing on tarps at smallholder scale; mechanical threshing at cooperative and commercial scale.</w:t>
      </w:r>
    </w:p>
    <w:p>
      <w:pPr>
        <w:pStyle w:val="ListParagraph"/>
        <w:numPr>
          <w:ilvl w:val="0"/>
          <w:numId w:val="2"/>
        </w:numPr>
        <w:spacing w:after="80" w:line="290"/>
      </w:pPr>
      <w:r>
        <w:rPr>
          <w:rFonts w:ascii="Calibri" w:cs="Calibri" w:eastAsia="Calibri" w:hAnsi="Calibri"/>
          <w:b/>
          <w:bCs/>
          <w:color w:val="1B1B1B"/>
          <w:sz w:val="22"/>
          <w:szCs w:val="22"/>
        </w:rPr>
        <w:t xml:space="preserve">Drying: </w:t>
      </w:r>
      <w:r>
        <w:rPr>
          <w:rFonts w:ascii="Calibri" w:cs="Calibri" w:eastAsia="Calibri" w:hAnsi="Calibri"/>
          <w:color w:val="1B1B1B"/>
          <w:sz w:val="22"/>
          <w:szCs w:val="22"/>
        </w:rPr>
        <w:t xml:space="preserve">Sun-drying to 12–13% moisture for safe storage; cowpeas dry readily.</w:t>
      </w:r>
    </w:p>
    <w:p>
      <w:pPr>
        <w:pStyle w:val="ListParagraph"/>
        <w:numPr>
          <w:ilvl w:val="0"/>
          <w:numId w:val="2"/>
        </w:numPr>
        <w:spacing w:after="80" w:line="290"/>
      </w:pPr>
      <w:r>
        <w:rPr>
          <w:rFonts w:ascii="Calibri" w:cs="Calibri" w:eastAsia="Calibri" w:hAnsi="Calibri"/>
          <w:b/>
          <w:bCs/>
          <w:color w:val="1B1B1B"/>
          <w:sz w:val="22"/>
          <w:szCs w:val="22"/>
        </w:rPr>
        <w:t xml:space="preserve">Sorting and grading: </w:t>
      </w:r>
      <w:r>
        <w:rPr>
          <w:rFonts w:ascii="Calibri" w:cs="Calibri" w:eastAsia="Calibri" w:hAnsi="Calibri"/>
          <w:color w:val="1B1B1B"/>
          <w:sz w:val="22"/>
          <w:szCs w:val="22"/>
        </w:rPr>
        <w:t xml:space="preserve">Hand-sorting by colour and size at smallholder scale; mechanical sorting at commercial scale. Cowpeas trade in multiple market classes (white, red-eye, mottled, black-eye) with separate price points.</w:t>
      </w:r>
    </w:p>
    <w:p>
      <w:pPr>
        <w:pStyle w:val="ListParagraph"/>
        <w:numPr>
          <w:ilvl w:val="0"/>
          <w:numId w:val="2"/>
        </w:numPr>
        <w:spacing w:after="80" w:line="290"/>
      </w:pPr>
      <w:r>
        <w:rPr>
          <w:rFonts w:ascii="Calibri" w:cs="Calibri" w:eastAsia="Calibri" w:hAnsi="Calibri"/>
          <w:b/>
          <w:bCs/>
          <w:color w:val="1B1B1B"/>
          <w:sz w:val="22"/>
          <w:szCs w:val="22"/>
        </w:rPr>
        <w:t xml:space="preserve">Storage — hermetic (the foundational discipline): </w:t>
      </w:r>
      <w:r>
        <w:rPr>
          <w:rFonts w:ascii="Calibri" w:cs="Calibri" w:eastAsia="Calibri" w:hAnsi="Calibri"/>
          <w:color w:val="1B1B1B"/>
          <w:sz w:val="22"/>
          <w:szCs w:val="22"/>
        </w:rPr>
        <w:t xml:space="preserve">PICS bags are the regional standard for cowpea storage — the technology was developed for this exact use case and remains the most empirically validated storage approach. Metal silos for cooperative scale; commercial bulk silos for export-grade.</w:t>
      </w:r>
    </w:p>
    <w:p>
      <w:pPr>
        <w:pStyle w:val="ListParagraph"/>
        <w:numPr>
          <w:ilvl w:val="0"/>
          <w:numId w:val="2"/>
        </w:numPr>
        <w:spacing w:after="80" w:line="290"/>
      </w:pPr>
      <w:r>
        <w:rPr>
          <w:rFonts w:ascii="Calibri" w:cs="Calibri" w:eastAsia="Calibri" w:hAnsi="Calibri"/>
          <w:b/>
          <w:bCs/>
          <w:color w:val="1B1B1B"/>
          <w:sz w:val="22"/>
          <w:szCs w:val="22"/>
        </w:rPr>
        <w:t xml:space="preserve">Storage — traditional: </w:t>
      </w:r>
      <w:r>
        <w:rPr>
          <w:rFonts w:ascii="Calibri" w:cs="Calibri" w:eastAsia="Calibri" w:hAnsi="Calibri"/>
          <w:color w:val="1B1B1B"/>
          <w:sz w:val="22"/>
          <w:szCs w:val="22"/>
        </w:rPr>
        <w:t xml:space="preserve">Clay pots sealed with ash (a documented effective traditional bruchid management technique); woven granaries; vegetable-oil-coated grain (smallholder preservation method).</w:t>
      </w:r>
    </w:p>
    <w:p>
      <w:pPr>
        <w:pStyle w:val="ListParagraph"/>
        <w:numPr>
          <w:ilvl w:val="0"/>
          <w:numId w:val="2"/>
        </w:numPr>
        <w:spacing w:after="80" w:line="290"/>
      </w:pPr>
      <w:r>
        <w:rPr>
          <w:rFonts w:ascii="Calibri" w:cs="Calibri" w:eastAsia="Calibri" w:hAnsi="Calibri"/>
          <w:b/>
          <w:bCs/>
          <w:color w:val="1B1B1B"/>
          <w:sz w:val="22"/>
          <w:szCs w:val="22"/>
        </w:rPr>
        <w:t xml:space="preserve">Pest control: </w:t>
      </w:r>
      <w:r>
        <w:rPr>
          <w:rFonts w:ascii="Calibri" w:cs="Calibri" w:eastAsia="Calibri" w:hAnsi="Calibri"/>
          <w:color w:val="1B1B1B"/>
          <w:sz w:val="22"/>
          <w:szCs w:val="22"/>
        </w:rPr>
        <w:t xml:space="preserve">Cowpea bruchid (Callosobruchus maculatus — the dominant pest) plus secondary species (Callosobruchus chinensis, Callosobruchus rhodesianus). Hermetic storage is the principal control; ash, vegetable-oil and salt traditional techniques are documented effective at smallholder scale.</w:t>
      </w:r>
    </w:p>
    <w:p>
      <w:pPr>
        <w:pStyle w:val="Heading3"/>
        <w:spacing w:after="60" w:before="160"/>
      </w:pPr>
      <w:r>
        <w:rPr>
          <w:rFonts w:ascii="Calibri" w:cs="Calibri" w:eastAsia="Calibri" w:hAnsi="Calibri"/>
          <w:b/>
          <w:bCs/>
          <w:color w:val="1B1B1B"/>
          <w:sz w:val="23"/>
          <w:szCs w:val="23"/>
        </w:rPr>
        <w:t xml:space="preserve">The processing &amp; value-add landscape</w:t>
      </w:r>
    </w:p>
    <w:p>
      <w:pPr>
        <w:pStyle w:val="ListParagraph"/>
        <w:numPr>
          <w:ilvl w:val="0"/>
          <w:numId w:val="2"/>
        </w:numPr>
        <w:spacing w:after="80" w:line="290"/>
      </w:pPr>
      <w:r>
        <w:rPr>
          <w:rFonts w:ascii="Calibri" w:cs="Calibri" w:eastAsia="Calibri" w:hAnsi="Calibri"/>
          <w:b/>
          <w:bCs/>
          <w:color w:val="1B1B1B"/>
          <w:sz w:val="22"/>
          <w:szCs w:val="22"/>
        </w:rPr>
        <w:t xml:space="preserve">Sorting, grading and bagging (the dominant commercial channel): </w:t>
      </w:r>
      <w:r>
        <w:rPr>
          <w:rFonts w:ascii="Calibri" w:cs="Calibri" w:eastAsia="Calibri" w:hAnsi="Calibri"/>
          <w:color w:val="1B1B1B"/>
          <w:sz w:val="22"/>
          <w:szCs w:val="22"/>
        </w:rPr>
        <w:t xml:space="preserve">Most regional cowpea trade moves as graded whole-grain product through cooperative aggregation and commercial sorters. Quality-graded sorted cowpea commands structural premium over mixed-grade informal trade.</w:t>
      </w:r>
    </w:p>
    <w:p>
      <w:pPr>
        <w:pStyle w:val="ListParagraph"/>
        <w:numPr>
          <w:ilvl w:val="0"/>
          <w:numId w:val="2"/>
        </w:numPr>
        <w:spacing w:after="80" w:line="290"/>
      </w:pPr>
      <w:r>
        <w:rPr>
          <w:rFonts w:ascii="Calibri" w:cs="Calibri" w:eastAsia="Calibri" w:hAnsi="Calibri"/>
          <w:b/>
          <w:bCs/>
          <w:color w:val="1B1B1B"/>
          <w:sz w:val="22"/>
          <w:szCs w:val="22"/>
        </w:rPr>
        <w:t xml:space="preserve">Cowpea flour and dehydrated products: </w:t>
      </w:r>
      <w:r>
        <w:rPr>
          <w:rFonts w:ascii="Calibri" w:cs="Calibri" w:eastAsia="Calibri" w:hAnsi="Calibri"/>
          <w:color w:val="1B1B1B"/>
          <w:sz w:val="22"/>
          <w:szCs w:val="22"/>
        </w:rPr>
        <w:t xml:space="preserve">Limited current regional commercial scale; emerging premium-niche cowpea-and-millet weaning food formulations. Africa Improved Foods (Rwanda) handles some cowpea-based formulations.</w:t>
      </w:r>
    </w:p>
    <w:p>
      <w:pPr>
        <w:pStyle w:val="ListParagraph"/>
        <w:numPr>
          <w:ilvl w:val="0"/>
          <w:numId w:val="2"/>
        </w:numPr>
        <w:spacing w:after="80" w:line="290"/>
      </w:pPr>
      <w:r>
        <w:rPr>
          <w:rFonts w:ascii="Calibri" w:cs="Calibri" w:eastAsia="Calibri" w:hAnsi="Calibri"/>
          <w:b/>
          <w:bCs/>
          <w:color w:val="1B1B1B"/>
          <w:sz w:val="22"/>
          <w:szCs w:val="22"/>
        </w:rPr>
        <w:t xml:space="preserve">Pre-cooked dehydrated cowpea convenience products: </w:t>
      </w:r>
      <w:r>
        <w:rPr>
          <w:rFonts w:ascii="Calibri" w:cs="Calibri" w:eastAsia="Calibri" w:hAnsi="Calibri"/>
          <w:color w:val="1B1B1B"/>
          <w:sz w:val="22"/>
          <w:szCs w:val="22"/>
        </w:rPr>
        <w:t xml:space="preserve">Emerging premium-niche urban convenience-food category; modest current scale but rising trajectory.</w:t>
      </w:r>
    </w:p>
    <w:p>
      <w:pPr>
        <w:pStyle w:val="ListParagraph"/>
        <w:numPr>
          <w:ilvl w:val="0"/>
          <w:numId w:val="2"/>
        </w:numPr>
        <w:spacing w:after="80" w:line="290"/>
      </w:pPr>
      <w:r>
        <w:rPr>
          <w:rFonts w:ascii="Calibri" w:cs="Calibri" w:eastAsia="Calibri" w:hAnsi="Calibri"/>
          <w:b/>
          <w:bCs/>
          <w:color w:val="1B1B1B"/>
          <w:sz w:val="22"/>
          <w:szCs w:val="22"/>
        </w:rPr>
        <w:t xml:space="preserve">Animal feed (haulm and off-grade): </w:t>
      </w:r>
      <w:r>
        <w:rPr>
          <w:rFonts w:ascii="Calibri" w:cs="Calibri" w:eastAsia="Calibri" w:hAnsi="Calibri"/>
          <w:color w:val="1B1B1B"/>
          <w:sz w:val="22"/>
          <w:szCs w:val="22"/>
        </w:rPr>
        <w:t xml:space="preserve">Cowpea haulm as high-quality livestock fodder (significant value in dual-purpose grain-and-fodder smallholder systems); off-grade and split cowpeas as poultry feed.</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Akara (cowpea fritter mixes) for regional South Asian and West African community markets; emerging plant-protein product lines.</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Moisture content: 13% maximum for safe storage.</w:t>
      </w:r>
    </w:p>
    <w:p>
      <w:pPr>
        <w:pStyle w:val="ListParagraph"/>
        <w:numPr>
          <w:ilvl w:val="0"/>
          <w:numId w:val="2"/>
        </w:numPr>
        <w:spacing w:after="80" w:line="290"/>
      </w:pPr>
      <w:r>
        <w:rPr>
          <w:rFonts w:ascii="Calibri" w:cs="Calibri" w:eastAsia="Calibri" w:hAnsi="Calibri"/>
          <w:color w:val="1B1B1B"/>
          <w:sz w:val="22"/>
          <w:szCs w:val="22"/>
        </w:rPr>
        <w:t xml:space="preserve">Foreign matter: typically maximum 1% for premium grade.</w:t>
      </w:r>
    </w:p>
    <w:p>
      <w:pPr>
        <w:pStyle w:val="ListParagraph"/>
        <w:numPr>
          <w:ilvl w:val="0"/>
          <w:numId w:val="2"/>
        </w:numPr>
        <w:spacing w:after="80" w:line="290"/>
      </w:pPr>
      <w:r>
        <w:rPr>
          <w:rFonts w:ascii="Calibri" w:cs="Calibri" w:eastAsia="Calibri" w:hAnsi="Calibri"/>
          <w:color w:val="1B1B1B"/>
          <w:sz w:val="22"/>
          <w:szCs w:val="22"/>
        </w:rPr>
        <w:t xml:space="preserve">Damaged kernels: typically maximum 3–5% for premium grade.</w:t>
      </w:r>
    </w:p>
    <w:p>
      <w:pPr>
        <w:pStyle w:val="ListParagraph"/>
        <w:numPr>
          <w:ilvl w:val="0"/>
          <w:numId w:val="2"/>
        </w:numPr>
        <w:spacing w:after="80" w:line="290"/>
      </w:pPr>
      <w:r>
        <w:rPr>
          <w:rFonts w:ascii="Calibri" w:cs="Calibri" w:eastAsia="Calibri" w:hAnsi="Calibri"/>
          <w:color w:val="1B1B1B"/>
          <w:sz w:val="22"/>
          <w:szCs w:val="22"/>
        </w:rPr>
        <w:t xml:space="preserve">Insect damage: typically maximum 1–2% for premium grade.</w:t>
      </w:r>
    </w:p>
    <w:p>
      <w:pPr>
        <w:pStyle w:val="ListParagraph"/>
        <w:numPr>
          <w:ilvl w:val="0"/>
          <w:numId w:val="2"/>
        </w:numPr>
        <w:spacing w:after="80" w:line="290"/>
      </w:pPr>
      <w:r>
        <w:rPr>
          <w:rFonts w:ascii="Calibri" w:cs="Calibri" w:eastAsia="Calibri" w:hAnsi="Calibri"/>
          <w:color w:val="1B1B1B"/>
          <w:sz w:val="22"/>
          <w:szCs w:val="22"/>
        </w:rPr>
        <w:t xml:space="preserve">Class purity: typically minimum 90–95% single-class for premium-grade.</w:t>
      </w:r>
    </w:p>
    <w:p>
      <w:pPr>
        <w:pStyle w:val="ListParagraph"/>
        <w:numPr>
          <w:ilvl w:val="0"/>
          <w:numId w:val="2"/>
        </w:numPr>
        <w:spacing w:after="80" w:line="290"/>
      </w:pPr>
      <w:r>
        <w:rPr>
          <w:rFonts w:ascii="Calibri" w:cs="Calibri" w:eastAsia="Calibri" w:hAnsi="Calibri"/>
          <w:color w:val="1B1B1B"/>
          <w:sz w:val="22"/>
          <w:szCs w:val="22"/>
        </w:rPr>
        <w:t xml:space="preserve">Certification: KEBS, TBS, UNBS standards apply.</w:t>
      </w:r>
    </w:p>
    <w:p>
      <w:pPr>
        <w:pStyle w:val="Heading3"/>
        <w:spacing w:after="60" w:before="160"/>
      </w:pPr>
      <w:r>
        <w:rPr>
          <w:rFonts w:ascii="Calibri" w:cs="Calibri" w:eastAsia="Calibri" w:hAnsi="Calibri"/>
          <w:b/>
          <w:bCs/>
          <w:color w:val="1B1B1B"/>
          <w:sz w:val="23"/>
          <w:szCs w:val="23"/>
        </w:rPr>
        <w:t xml:space="preserve">Where to source equipment, services, and processors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Equipment: KALRO Katumani-linked networks. Storage: PICS bag distributors (the regional reference for cowpea PICS adoption). Aggregators: Smart Logistics Solutions; cooperative networks across Eastern Region.</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Equipment: TARI-linked networks. Storage: PICS bag distributors. Aggregators: cooperative networks in Coast and Central regions; AGCOT-cluster operators where cowpea production overlaps.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Equipment: NaSARRI Serere-linked networks. Storage: PICS bag distributors via NaSARRI-affiliated channels (NaSARRI is the regional CGIAR-affiliated Vigna research centre). Aggregators: cooperative networks in Northern Region (Lango, Acholi).</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Equipment: regional imports. Storage: PICS bag distributors. Aggregators: cooperative networks; AIF cowpea-based formulations.</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Equipment: regional imports. Storage: PICS bag distributors. Aggregators: emerging cooperative networks.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Cowpea post-harvest is the regional foundational case study in hermetic storage adoption — the crop where PICS technology was developed, the crop where the empirical track record is longest, and the crop where the storage-loss-reduction case is strongest. The remaining work is geographic and demographic extension to smallholder communities not yet engaged.</w:t>
      </w:r>
    </w:p>
    <w:p>
      <w:pPr>
        <w:spacing w:after="120" w:line="300"/>
      </w:pPr>
      <w:r>
        <w:rPr>
          <w:rFonts w:ascii="Calibri" w:cs="Calibri" w:eastAsia="Calibri" w:hAnsi="Calibri"/>
          <w:color w:val="1B1B1B"/>
          <w:sz w:val="22"/>
          <w:szCs w:val="22"/>
        </w:rPr>
        <w:t xml:space="preserve">For drylands smallholders in Eastern Kenya, Coastal Tanzania, and Northern Uganda, the actionable rule is hermetic storage adoption (PICS bags or properly-maintained traditional clay pots) as the foundational post-harvest discipline. For impact investors and commercial operators, the under-developed regional cowpea value-add infrastructure (flour, convenience foods, premium retail) represents an emerging commercial trajectory paralleling the indigenous-vegetable success documented in Seed Series Issue 10.</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07</w:t>
            </w:r>
          </w:p>
          <w:p>
            <w:pPr>
              <w:spacing w:after="40"/>
            </w:pPr>
            <w:r>
              <w:rPr>
                <w:rFonts w:ascii="Calibri" w:cs="Calibri" w:eastAsia="Calibri" w:hAnsi="Calibri"/>
                <w:b/>
                <w:bCs/>
                <w:color w:val="FFFFFF"/>
                <w:sz w:val="36"/>
                <w:szCs w:val="36"/>
              </w:rPr>
              <w:t xml:space="preserve">Green Grams (Mung Beans)</w:t>
            </w:r>
          </w:p>
          <w:p>
            <w:r>
              <w:rPr>
                <w:rFonts w:ascii="Calibri" w:cs="Calibri" w:eastAsia="Calibri" w:hAnsi="Calibri"/>
                <w:i/>
                <w:iCs/>
                <w:color w:val="FFFFFF"/>
                <w:sz w:val="20"/>
                <w:szCs w:val="20"/>
              </w:rPr>
              <w:t xml:space="preserve">Vigna radiata</w:t>
            </w:r>
            <w:r>
              <w:rPr>
                <w:rFonts w:ascii="Calibri" w:cs="Calibri" w:eastAsia="Calibri" w:hAnsi="Calibri"/>
                <w:color w:val="FFFFFF"/>
                <w:sz w:val="20"/>
                <w:szCs w:val="20"/>
              </w:rPr>
              <w:t xml:space="preserve">   •   Pojo (Sw)  •  Ndengu (regional)  •  The Eastern-Kenya production specialist</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LOSS RANGE</w:t>
            </w:r>
          </w:p>
          <w:p>
            <w:r>
              <w:rPr>
                <w:rFonts w:ascii="Calibri" w:cs="Calibri" w:eastAsia="Calibri" w:hAnsi="Calibri"/>
                <w:color w:val="1B1B1B"/>
                <w:sz w:val="20"/>
                <w:szCs w:val="20"/>
              </w:rPr>
              <w:t xml:space="preserve">15–25% post-harvest loss (smallholder); 5–10% (commercial-grade)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DRYING TARGET</w:t>
            </w:r>
          </w:p>
          <w:p>
            <w:r>
              <w:rPr>
                <w:rFonts w:ascii="Calibri" w:cs="Calibri" w:eastAsia="Calibri" w:hAnsi="Calibri"/>
                <w:color w:val="1B1B1B"/>
                <w:sz w:val="20"/>
                <w:szCs w:val="20"/>
              </w:rPr>
              <w:t xml:space="preserve">12–13% moisture content for safe storage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STORAGE APPROACH</w:t>
            </w:r>
          </w:p>
          <w:p>
            <w:r>
              <w:rPr>
                <w:rFonts w:ascii="Calibri" w:cs="Calibri" w:eastAsia="Calibri" w:hAnsi="Calibri"/>
                <w:color w:val="1B1B1B"/>
                <w:sz w:val="20"/>
                <w:szCs w:val="20"/>
              </w:rPr>
              <w:t xml:space="preserve">PICS bags; polypropylene bags; emerging cooperative-grade storage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Eastern KE (the regional production heartland — Kitui, Makueni, Tharaka-Nithi, Mwingi); Coast TZ; minor UG; minor RW &amp; BI</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Green grams are the regional production specialty of Eastern Kenya — the crop where Kitui, Makueni, Tharaka-Nithi and Mwingi counties produce the dominant share of regional output through smallholder-and-cooperative aggregation networks. The crop’s short cycle (60–80 days), drought tolerance, and structural Indian and regional retail demand make it one of the cleanest available drylands cash crops in the region.</w:t>
      </w:r>
    </w:p>
    <w:p>
      <w:pPr>
        <w:spacing w:after="120" w:line="300"/>
      </w:pPr>
      <w:r>
        <w:rPr>
          <w:rFonts w:ascii="Calibri" w:cs="Calibri" w:eastAsia="Calibri" w:hAnsi="Calibri"/>
          <w:color w:val="1B1B1B"/>
          <w:sz w:val="22"/>
          <w:szCs w:val="22"/>
        </w:rPr>
        <w:t xml:space="preserve">Green gram post-harvest economics are dominated by colour-and-size sorting (premium uniform-class commands structural premium over mixed-class informal trade), bruchid management (PICS bag adoption growing), and India export channel access. Smart Logistics Solutions and a network of Indian-trader-affiliated regional aggregators anchor the export consolidation; cooperative-affiliated retail brands serve the regional domestic urban market.</w:t>
      </w:r>
    </w:p>
    <w:p>
      <w:pPr>
        <w:pStyle w:val="Heading3"/>
        <w:spacing w:after="60" w:before="160"/>
      </w:pPr>
      <w:r>
        <w:rPr>
          <w:rFonts w:ascii="Calibri" w:cs="Calibri" w:eastAsia="Calibri" w:hAnsi="Calibri"/>
          <w:b/>
          <w:bCs/>
          <w:color w:val="1B1B1B"/>
          <w:sz w:val="23"/>
          <w:szCs w:val="23"/>
        </w:rPr>
        <w:t xml:space="preserve">The post-harvest landscape: harvest, drying, storage</w:t>
      </w:r>
    </w:p>
    <w:p>
      <w:pPr>
        <w:pStyle w:val="ListParagraph"/>
        <w:numPr>
          <w:ilvl w:val="0"/>
          <w:numId w:val="2"/>
        </w:numPr>
        <w:spacing w:after="80" w:line="290"/>
      </w:pPr>
      <w:r>
        <w:rPr>
          <w:rFonts w:ascii="Calibri" w:cs="Calibri" w:eastAsia="Calibri" w:hAnsi="Calibri"/>
          <w:b/>
          <w:bCs/>
          <w:color w:val="1B1B1B"/>
          <w:sz w:val="22"/>
          <w:szCs w:val="22"/>
        </w:rPr>
        <w:t xml:space="preserve">Harvest timing: </w:t>
      </w:r>
      <w:r>
        <w:rPr>
          <w:rFonts w:ascii="Calibri" w:cs="Calibri" w:eastAsia="Calibri" w:hAnsi="Calibri"/>
          <w:color w:val="1B1B1B"/>
          <w:sz w:val="22"/>
          <w:szCs w:val="22"/>
        </w:rPr>
        <w:t xml:space="preserve">Harvest at full pod maturity when 80–90% of pods are dry; green gram pods can shatter if harvest is delayed beyond full maturity. Multiple harvests over the season (similar to pigeon pea) due to indeterminate growth.</w:t>
      </w:r>
    </w:p>
    <w:p>
      <w:pPr>
        <w:pStyle w:val="ListParagraph"/>
        <w:numPr>
          <w:ilvl w:val="0"/>
          <w:numId w:val="2"/>
        </w:numPr>
        <w:spacing w:after="80" w:line="290"/>
      </w:pPr>
      <w:r>
        <w:rPr>
          <w:rFonts w:ascii="Calibri" w:cs="Calibri" w:eastAsia="Calibri" w:hAnsi="Calibri"/>
          <w:b/>
          <w:bCs/>
          <w:color w:val="1B1B1B"/>
          <w:sz w:val="22"/>
          <w:szCs w:val="22"/>
        </w:rPr>
        <w:t xml:space="preserve">Threshing: </w:t>
      </w:r>
      <w:r>
        <w:rPr>
          <w:rFonts w:ascii="Calibri" w:cs="Calibri" w:eastAsia="Calibri" w:hAnsi="Calibri"/>
          <w:color w:val="1B1B1B"/>
          <w:sz w:val="22"/>
          <w:szCs w:val="22"/>
        </w:rPr>
        <w:t xml:space="preserve">Hand-threshing on tarps at smallholder scale; mechanical threshing at cooperative and commercial scale.</w:t>
      </w:r>
    </w:p>
    <w:p>
      <w:pPr>
        <w:pStyle w:val="ListParagraph"/>
        <w:numPr>
          <w:ilvl w:val="0"/>
          <w:numId w:val="2"/>
        </w:numPr>
        <w:spacing w:after="80" w:line="290"/>
      </w:pPr>
      <w:r>
        <w:rPr>
          <w:rFonts w:ascii="Calibri" w:cs="Calibri" w:eastAsia="Calibri" w:hAnsi="Calibri"/>
          <w:b/>
          <w:bCs/>
          <w:color w:val="1B1B1B"/>
          <w:sz w:val="22"/>
          <w:szCs w:val="22"/>
        </w:rPr>
        <w:t xml:space="preserve">Drying: </w:t>
      </w:r>
      <w:r>
        <w:rPr>
          <w:rFonts w:ascii="Calibri" w:cs="Calibri" w:eastAsia="Calibri" w:hAnsi="Calibri"/>
          <w:color w:val="1B1B1B"/>
          <w:sz w:val="22"/>
          <w:szCs w:val="22"/>
        </w:rPr>
        <w:t xml:space="preserve">Sun-drying to 12–13% moisture for safe storage.</w:t>
      </w:r>
    </w:p>
    <w:p>
      <w:pPr>
        <w:pStyle w:val="ListParagraph"/>
        <w:numPr>
          <w:ilvl w:val="0"/>
          <w:numId w:val="2"/>
        </w:numPr>
        <w:spacing w:after="80" w:line="290"/>
      </w:pPr>
      <w:r>
        <w:rPr>
          <w:rFonts w:ascii="Calibri" w:cs="Calibri" w:eastAsia="Calibri" w:hAnsi="Calibri"/>
          <w:b/>
          <w:bCs/>
          <w:color w:val="1B1B1B"/>
          <w:sz w:val="22"/>
          <w:szCs w:val="22"/>
        </w:rPr>
        <w:t xml:space="preserve">Sorting and grading (the value-capture step): </w:t>
      </w:r>
      <w:r>
        <w:rPr>
          <w:rFonts w:ascii="Calibri" w:cs="Calibri" w:eastAsia="Calibri" w:hAnsi="Calibri"/>
          <w:color w:val="1B1B1B"/>
          <w:sz w:val="22"/>
          <w:szCs w:val="22"/>
        </w:rPr>
        <w:t xml:space="preserve">Hand-sorting by colour and size at smallholder scale; mechanical sorting at commercial scale. Premium uniform-class green grams (typically bright green, large-kernel) commands 30–60% premium over mixed-class informal trade.</w:t>
      </w:r>
    </w:p>
    <w:p>
      <w:pPr>
        <w:pStyle w:val="ListParagraph"/>
        <w:numPr>
          <w:ilvl w:val="0"/>
          <w:numId w:val="2"/>
        </w:numPr>
        <w:spacing w:after="80" w:line="290"/>
      </w:pPr>
      <w:r>
        <w:rPr>
          <w:rFonts w:ascii="Calibri" w:cs="Calibri" w:eastAsia="Calibri" w:hAnsi="Calibri"/>
          <w:b/>
          <w:bCs/>
          <w:color w:val="1B1B1B"/>
          <w:sz w:val="22"/>
          <w:szCs w:val="22"/>
        </w:rPr>
        <w:t xml:space="preserve">Storage — hermetic: </w:t>
      </w:r>
      <w:r>
        <w:rPr>
          <w:rFonts w:ascii="Calibri" w:cs="Calibri" w:eastAsia="Calibri" w:hAnsi="Calibri"/>
          <w:color w:val="1B1B1B"/>
          <w:sz w:val="22"/>
          <w:szCs w:val="22"/>
        </w:rPr>
        <w:t xml:space="preserve">PICS bags adoption growing; metal silos at cooperative scale; commercial bulk silos at export aggregation scale.</w:t>
      </w:r>
    </w:p>
    <w:p>
      <w:pPr>
        <w:pStyle w:val="ListParagraph"/>
        <w:numPr>
          <w:ilvl w:val="0"/>
          <w:numId w:val="2"/>
        </w:numPr>
        <w:spacing w:after="80" w:line="290"/>
      </w:pPr>
      <w:r>
        <w:rPr>
          <w:rFonts w:ascii="Calibri" w:cs="Calibri" w:eastAsia="Calibri" w:hAnsi="Calibri"/>
          <w:b/>
          <w:bCs/>
          <w:color w:val="1B1B1B"/>
          <w:sz w:val="22"/>
          <w:szCs w:val="22"/>
        </w:rPr>
        <w:t xml:space="preserve">Storage — smallholder: </w:t>
      </w:r>
      <w:r>
        <w:rPr>
          <w:rFonts w:ascii="Calibri" w:cs="Calibri" w:eastAsia="Calibri" w:hAnsi="Calibri"/>
          <w:color w:val="1B1B1B"/>
          <w:sz w:val="22"/>
          <w:szCs w:val="22"/>
        </w:rPr>
        <w:t xml:space="preserve">Polypropylene bags; clay-pot traditional methods.</w:t>
      </w:r>
    </w:p>
    <w:p>
      <w:pPr>
        <w:pStyle w:val="ListParagraph"/>
        <w:numPr>
          <w:ilvl w:val="0"/>
          <w:numId w:val="2"/>
        </w:numPr>
        <w:spacing w:after="80" w:line="290"/>
      </w:pPr>
      <w:r>
        <w:rPr>
          <w:rFonts w:ascii="Calibri" w:cs="Calibri" w:eastAsia="Calibri" w:hAnsi="Calibri"/>
          <w:b/>
          <w:bCs/>
          <w:color w:val="1B1B1B"/>
          <w:sz w:val="22"/>
          <w:szCs w:val="22"/>
        </w:rPr>
        <w:t xml:space="preserve">Pest control: </w:t>
      </w:r>
      <w:r>
        <w:rPr>
          <w:rFonts w:ascii="Calibri" w:cs="Calibri" w:eastAsia="Calibri" w:hAnsi="Calibri"/>
          <w:color w:val="1B1B1B"/>
          <w:sz w:val="22"/>
          <w:szCs w:val="22"/>
        </w:rPr>
        <w:t xml:space="preserve">Bruchid pressure (Callosobruchus chinensis); some grain moth pressure. Hermetic storage is the principal control.</w:t>
      </w:r>
    </w:p>
    <w:p>
      <w:pPr>
        <w:pStyle w:val="Heading3"/>
        <w:spacing w:after="60" w:before="160"/>
      </w:pPr>
      <w:r>
        <w:rPr>
          <w:rFonts w:ascii="Calibri" w:cs="Calibri" w:eastAsia="Calibri" w:hAnsi="Calibri"/>
          <w:b/>
          <w:bCs/>
          <w:color w:val="1B1B1B"/>
          <w:sz w:val="23"/>
          <w:szCs w:val="23"/>
        </w:rPr>
        <w:t xml:space="preserve">The processing &amp; value-add landscape</w:t>
      </w:r>
    </w:p>
    <w:p>
      <w:pPr>
        <w:pStyle w:val="ListParagraph"/>
        <w:numPr>
          <w:ilvl w:val="0"/>
          <w:numId w:val="2"/>
        </w:numPr>
        <w:spacing w:after="80" w:line="290"/>
      </w:pPr>
      <w:r>
        <w:rPr>
          <w:rFonts w:ascii="Calibri" w:cs="Calibri" w:eastAsia="Calibri" w:hAnsi="Calibri"/>
          <w:b/>
          <w:bCs/>
          <w:color w:val="1B1B1B"/>
          <w:sz w:val="22"/>
          <w:szCs w:val="22"/>
        </w:rPr>
        <w:t xml:space="preserve">Sorting, grading and bagging (the dominant commercial channel): </w:t>
      </w:r>
      <w:r>
        <w:rPr>
          <w:rFonts w:ascii="Calibri" w:cs="Calibri" w:eastAsia="Calibri" w:hAnsi="Calibri"/>
          <w:color w:val="1B1B1B"/>
          <w:sz w:val="22"/>
          <w:szCs w:val="22"/>
        </w:rPr>
        <w:t xml:space="preserve">Most regional green gram trade moves as graded whole-bean retail or export consignment. Smart Logistics Solutions and Indian-trader-affiliated aggregators anchor the export consolidation; cooperative-affiliated retail brands serve domestic markets.</w:t>
      </w:r>
    </w:p>
    <w:p>
      <w:pPr>
        <w:pStyle w:val="ListParagraph"/>
        <w:numPr>
          <w:ilvl w:val="0"/>
          <w:numId w:val="2"/>
        </w:numPr>
        <w:spacing w:after="80" w:line="290"/>
      </w:pPr>
      <w:r>
        <w:rPr>
          <w:rFonts w:ascii="Calibri" w:cs="Calibri" w:eastAsia="Calibri" w:hAnsi="Calibri"/>
          <w:b/>
          <w:bCs/>
          <w:color w:val="1B1B1B"/>
          <w:sz w:val="22"/>
          <w:szCs w:val="22"/>
        </w:rPr>
        <w:t xml:space="preserve">Sprouted green gram production: </w:t>
      </w:r>
      <w:r>
        <w:rPr>
          <w:rFonts w:ascii="Calibri" w:cs="Calibri" w:eastAsia="Calibri" w:hAnsi="Calibri"/>
          <w:color w:val="1B1B1B"/>
          <w:sz w:val="22"/>
          <w:szCs w:val="22"/>
        </w:rPr>
        <w:t xml:space="preserve">Sprouted-bean retail products (mung bean sprouts) carry significant regional commercial demand through urban retail and food service channels; some commercial operators emerging.</w:t>
      </w:r>
    </w:p>
    <w:p>
      <w:pPr>
        <w:pStyle w:val="ListParagraph"/>
        <w:numPr>
          <w:ilvl w:val="0"/>
          <w:numId w:val="2"/>
        </w:numPr>
        <w:spacing w:after="80" w:line="290"/>
      </w:pPr>
      <w:r>
        <w:rPr>
          <w:rFonts w:ascii="Calibri" w:cs="Calibri" w:eastAsia="Calibri" w:hAnsi="Calibri"/>
          <w:b/>
          <w:bCs/>
          <w:color w:val="1B1B1B"/>
          <w:sz w:val="22"/>
          <w:szCs w:val="22"/>
        </w:rPr>
        <w:t xml:space="preserve">Green gram flour and noodle products: </w:t>
      </w:r>
      <w:r>
        <w:rPr>
          <w:rFonts w:ascii="Calibri" w:cs="Calibri" w:eastAsia="Calibri" w:hAnsi="Calibri"/>
          <w:color w:val="1B1B1B"/>
          <w:sz w:val="22"/>
          <w:szCs w:val="22"/>
        </w:rPr>
        <w:t xml:space="preserve">Limited current regional commercial scale; emerging premium-niche operators.</w:t>
      </w:r>
    </w:p>
    <w:p>
      <w:pPr>
        <w:pStyle w:val="ListParagraph"/>
        <w:numPr>
          <w:ilvl w:val="0"/>
          <w:numId w:val="2"/>
        </w:numPr>
        <w:spacing w:after="80" w:line="290"/>
      </w:pPr>
      <w:r>
        <w:rPr>
          <w:rFonts w:ascii="Calibri" w:cs="Calibri" w:eastAsia="Calibri" w:hAnsi="Calibri"/>
          <w:b/>
          <w:bCs/>
          <w:color w:val="1B1B1B"/>
          <w:sz w:val="22"/>
          <w:szCs w:val="22"/>
        </w:rPr>
        <w:t xml:space="preserve">Animal feed (off-grade): </w:t>
      </w:r>
      <w:r>
        <w:rPr>
          <w:rFonts w:ascii="Calibri" w:cs="Calibri" w:eastAsia="Calibri" w:hAnsi="Calibri"/>
          <w:color w:val="1B1B1B"/>
          <w:sz w:val="22"/>
          <w:szCs w:val="22"/>
        </w:rPr>
        <w:t xml:space="preserve">Off-grade and split green grams as poultry-feed protein input.</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Mung bean dahl for regional South Asian community markets; emerging plant-protein product lines; premium retail single-origin Eastern Kenya green gram brands.</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Moisture content: 12.5% maximum for safe storage; 12% for export-grade.</w:t>
      </w:r>
    </w:p>
    <w:p>
      <w:pPr>
        <w:pStyle w:val="ListParagraph"/>
        <w:numPr>
          <w:ilvl w:val="0"/>
          <w:numId w:val="2"/>
        </w:numPr>
        <w:spacing w:after="80" w:line="290"/>
      </w:pPr>
      <w:r>
        <w:rPr>
          <w:rFonts w:ascii="Calibri" w:cs="Calibri" w:eastAsia="Calibri" w:hAnsi="Calibri"/>
          <w:color w:val="1B1B1B"/>
          <w:sz w:val="22"/>
          <w:szCs w:val="22"/>
        </w:rPr>
        <w:t xml:space="preserve">Foreign matter: typically maximum 0.5–1% for premium grade.</w:t>
      </w:r>
    </w:p>
    <w:p>
      <w:pPr>
        <w:pStyle w:val="ListParagraph"/>
        <w:numPr>
          <w:ilvl w:val="0"/>
          <w:numId w:val="2"/>
        </w:numPr>
        <w:spacing w:after="80" w:line="290"/>
      </w:pPr>
      <w:r>
        <w:rPr>
          <w:rFonts w:ascii="Calibri" w:cs="Calibri" w:eastAsia="Calibri" w:hAnsi="Calibri"/>
          <w:color w:val="1B1B1B"/>
          <w:sz w:val="22"/>
          <w:szCs w:val="22"/>
        </w:rPr>
        <w:t xml:space="preserve">Damaged kernels: typically maximum 2–3% for premium grade.</w:t>
      </w:r>
    </w:p>
    <w:p>
      <w:pPr>
        <w:pStyle w:val="ListParagraph"/>
        <w:numPr>
          <w:ilvl w:val="0"/>
          <w:numId w:val="2"/>
        </w:numPr>
        <w:spacing w:after="80" w:line="290"/>
      </w:pPr>
      <w:r>
        <w:rPr>
          <w:rFonts w:ascii="Calibri" w:cs="Calibri" w:eastAsia="Calibri" w:hAnsi="Calibri"/>
          <w:color w:val="1B1B1B"/>
          <w:sz w:val="22"/>
          <w:szCs w:val="22"/>
        </w:rPr>
        <w:t xml:space="preserve">Class purity: typically minimum 95% bright-green-class for premium retail and export grade.</w:t>
      </w:r>
    </w:p>
    <w:p>
      <w:pPr>
        <w:pStyle w:val="ListParagraph"/>
        <w:numPr>
          <w:ilvl w:val="0"/>
          <w:numId w:val="2"/>
        </w:numPr>
        <w:spacing w:after="80" w:line="290"/>
      </w:pPr>
      <w:r>
        <w:rPr>
          <w:rFonts w:ascii="Calibri" w:cs="Calibri" w:eastAsia="Calibri" w:hAnsi="Calibri"/>
          <w:color w:val="1B1B1B"/>
          <w:sz w:val="22"/>
          <w:szCs w:val="22"/>
        </w:rPr>
        <w:t xml:space="preserve">Certification: KEBS, TBS, UNBS standards; export-grade requires phytosanitary documentation.</w:t>
      </w:r>
    </w:p>
    <w:p>
      <w:pPr>
        <w:pStyle w:val="Heading3"/>
        <w:spacing w:after="60" w:before="160"/>
      </w:pPr>
      <w:r>
        <w:rPr>
          <w:rFonts w:ascii="Calibri" w:cs="Calibri" w:eastAsia="Calibri" w:hAnsi="Calibri"/>
          <w:b/>
          <w:bCs/>
          <w:color w:val="1B1B1B"/>
          <w:sz w:val="23"/>
          <w:szCs w:val="23"/>
        </w:rPr>
        <w:t xml:space="preserve">Where to source equipment, services, and processors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Equipment: KALRO Katumani-linked networks (Eastern Kenya is the regional production heartland). Storage: PICS bag distributors; A to Z Textile Mills (metal silos). Aggregators: Smart Logistics Solutions (the principal regional aggregator); ETG Kenya; Indian-trader-affiliated regional operators; cooperative networks in Eastern Region.</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Equipment: TARI-linked networks. Aggregators: emerging cooperative networks in Coast region.</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Equipment: NaSARRI Serere-linked networks. Aggregators: limited; emerging cooperative networks.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Limited commercial green gram supply.</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Limited commercial green gram supply.</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Green gram post-harvest infrastructure is the Eastern-Kenya production-specialty story — structurally functional smallholder-to-export aggregation through Smart Logistics Solutions and affiliated networks, India-buyer-driven commercial absorption, emerging premium-niche regional retail.</w:t>
      </w:r>
    </w:p>
    <w:p>
      <w:pPr>
        <w:spacing w:after="120" w:line="300"/>
      </w:pPr>
      <w:r>
        <w:rPr>
          <w:rFonts w:ascii="Calibri" w:cs="Calibri" w:eastAsia="Calibri" w:hAnsi="Calibri"/>
          <w:color w:val="1B1B1B"/>
          <w:sz w:val="22"/>
          <w:szCs w:val="22"/>
        </w:rPr>
        <w:t xml:space="preserve">For Eastern Kenya green gram producers, the actionable rule is participation in cooperative-affiliated aggregator networks with quality-graded sorting discipline. For impact investors and commercial operators, the regional green-gram-and-sprouted-bean value-add infrastructure represents an emerging premium commercial trajectory — particularly through urban retail and food-service channels.</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08</w:t>
            </w:r>
          </w:p>
          <w:p>
            <w:pPr>
              <w:spacing w:after="40"/>
            </w:pPr>
            <w:r>
              <w:rPr>
                <w:rFonts w:ascii="Calibri" w:cs="Calibri" w:eastAsia="Calibri" w:hAnsi="Calibri"/>
                <w:b/>
                <w:bCs/>
                <w:color w:val="FFFFFF"/>
                <w:sz w:val="36"/>
                <w:szCs w:val="36"/>
              </w:rPr>
              <w:t xml:space="preserve">Lentils</w:t>
            </w:r>
          </w:p>
          <w:p>
            <w:r>
              <w:rPr>
                <w:rFonts w:ascii="Calibri" w:cs="Calibri" w:eastAsia="Calibri" w:hAnsi="Calibri"/>
                <w:i/>
                <w:iCs/>
                <w:color w:val="FFFFFF"/>
                <w:sz w:val="20"/>
                <w:szCs w:val="20"/>
              </w:rPr>
              <w:t xml:space="preserve">Lens culinaris</w:t>
            </w:r>
            <w:r>
              <w:rPr>
                <w:rFonts w:ascii="Calibri" w:cs="Calibri" w:eastAsia="Calibri" w:hAnsi="Calibri"/>
                <w:color w:val="FFFFFF"/>
                <w:sz w:val="20"/>
                <w:szCs w:val="20"/>
              </w:rPr>
              <w:t xml:space="preserve">   •   Adesi (Sw, regional)  •  The minor regional pulse with rising interest</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LOSS RANGE</w:t>
            </w:r>
          </w:p>
          <w:p>
            <w:r>
              <w:rPr>
                <w:rFonts w:ascii="Calibri" w:cs="Calibri" w:eastAsia="Calibri" w:hAnsi="Calibri"/>
                <w:color w:val="1B1B1B"/>
                <w:sz w:val="20"/>
                <w:szCs w:val="20"/>
              </w:rPr>
              <w:t xml:space="preserve">10–20% post-harvest loss (smallholder, limited regional production)</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DRYING TARGET</w:t>
            </w:r>
          </w:p>
          <w:p>
            <w:r>
              <w:rPr>
                <w:rFonts w:ascii="Calibri" w:cs="Calibri" w:eastAsia="Calibri" w:hAnsi="Calibri"/>
                <w:color w:val="1B1B1B"/>
                <w:sz w:val="20"/>
                <w:szCs w:val="20"/>
              </w:rPr>
              <w:t xml:space="preserve">10–12% moisture content for safe storage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STORAGE APPROACH</w:t>
            </w:r>
          </w:p>
          <w:p>
            <w:r>
              <w:rPr>
                <w:rFonts w:ascii="Calibri" w:cs="Calibri" w:eastAsia="Calibri" w:hAnsi="Calibri"/>
                <w:color w:val="1B1B1B"/>
                <w:sz w:val="20"/>
                <w:szCs w:val="20"/>
              </w:rPr>
              <w:t xml:space="preserve">Polypropylene bags; emerging PICS adoption; minor regional commercial scale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Highland KE (Mt Kenya, Aberdares pilot); Mt Kilimanjaro &amp; Southern Highlands TZ (limited); minor UG, RW, BI</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Lentils are East Africa’s minor regional pulse with structural import-substitution potential. Regional production is small relative to consumption demand; imports from Canada, India, Turkey, Australia and the United States fill the regional retail and food-service gap. Pilot regional production has emerged through highland Kenya (Mt Kenya, Aberdares), highland Tanzania (Mt Kilimanjaro, Southern Highlands), and emerging trial cultivation in Uganda, Rwanda and Burundi highland zones.</w:t>
      </w:r>
    </w:p>
    <w:p>
      <w:pPr>
        <w:spacing w:after="120" w:line="300"/>
      </w:pPr>
      <w:r>
        <w:rPr>
          <w:rFonts w:ascii="Calibri" w:cs="Calibri" w:eastAsia="Calibri" w:hAnsi="Calibri"/>
          <w:color w:val="1B1B1B"/>
          <w:sz w:val="22"/>
          <w:szCs w:val="22"/>
        </w:rPr>
        <w:t xml:space="preserve">Lentil post-harvest economics will track the emerging regional production scale-up over the next decade. The crop’s structural fit for highland cool-season cultivation (where chickpea and pigeon pea are marginal), the rising regional retail-and-food-service demand (anchored by South Asian community markets and emerging premium-niche urban retail), and the import-substitution trajectory together make this a watching-brief category in the regional commercial picture.</w:t>
      </w:r>
    </w:p>
    <w:p>
      <w:pPr>
        <w:pStyle w:val="Heading3"/>
        <w:spacing w:after="60" w:before="160"/>
      </w:pPr>
      <w:r>
        <w:rPr>
          <w:rFonts w:ascii="Calibri" w:cs="Calibri" w:eastAsia="Calibri" w:hAnsi="Calibri"/>
          <w:b/>
          <w:bCs/>
          <w:color w:val="1B1B1B"/>
          <w:sz w:val="23"/>
          <w:szCs w:val="23"/>
        </w:rPr>
        <w:t xml:space="preserve">The post-harvest landscape: harvest, drying, storage</w:t>
      </w:r>
    </w:p>
    <w:p>
      <w:pPr>
        <w:pStyle w:val="ListParagraph"/>
        <w:numPr>
          <w:ilvl w:val="0"/>
          <w:numId w:val="2"/>
        </w:numPr>
        <w:spacing w:after="80" w:line="290"/>
      </w:pPr>
      <w:r>
        <w:rPr>
          <w:rFonts w:ascii="Calibri" w:cs="Calibri" w:eastAsia="Calibri" w:hAnsi="Calibri"/>
          <w:b/>
          <w:bCs/>
          <w:color w:val="1B1B1B"/>
          <w:sz w:val="22"/>
          <w:szCs w:val="22"/>
        </w:rPr>
        <w:t xml:space="preserve">Harvest timing: </w:t>
      </w:r>
      <w:r>
        <w:rPr>
          <w:rFonts w:ascii="Calibri" w:cs="Calibri" w:eastAsia="Calibri" w:hAnsi="Calibri"/>
          <w:color w:val="1B1B1B"/>
          <w:sz w:val="22"/>
          <w:szCs w:val="22"/>
        </w:rPr>
        <w:t xml:space="preserve">Harvest at full pod maturity when 90–95% of pods are dry; lentil pods are smaller than other regional legumes and threshing requires care to avoid kernel damage.</w:t>
      </w:r>
    </w:p>
    <w:p>
      <w:pPr>
        <w:pStyle w:val="ListParagraph"/>
        <w:numPr>
          <w:ilvl w:val="0"/>
          <w:numId w:val="2"/>
        </w:numPr>
        <w:spacing w:after="80" w:line="290"/>
      </w:pPr>
      <w:r>
        <w:rPr>
          <w:rFonts w:ascii="Calibri" w:cs="Calibri" w:eastAsia="Calibri" w:hAnsi="Calibri"/>
          <w:b/>
          <w:bCs/>
          <w:color w:val="1B1B1B"/>
          <w:sz w:val="22"/>
          <w:szCs w:val="22"/>
        </w:rPr>
        <w:t xml:space="preserve">Threshing: </w:t>
      </w:r>
      <w:r>
        <w:rPr>
          <w:rFonts w:ascii="Calibri" w:cs="Calibri" w:eastAsia="Calibri" w:hAnsi="Calibri"/>
          <w:color w:val="1B1B1B"/>
          <w:sz w:val="22"/>
          <w:szCs w:val="22"/>
        </w:rPr>
        <w:t xml:space="preserve">Hand-threshing on tarps at smallholder scale; mechanical threshing at cooperative scale.</w:t>
      </w:r>
    </w:p>
    <w:p>
      <w:pPr>
        <w:pStyle w:val="ListParagraph"/>
        <w:numPr>
          <w:ilvl w:val="0"/>
          <w:numId w:val="2"/>
        </w:numPr>
        <w:spacing w:after="80" w:line="290"/>
      </w:pPr>
      <w:r>
        <w:rPr>
          <w:rFonts w:ascii="Calibri" w:cs="Calibri" w:eastAsia="Calibri" w:hAnsi="Calibri"/>
          <w:b/>
          <w:bCs/>
          <w:color w:val="1B1B1B"/>
          <w:sz w:val="22"/>
          <w:szCs w:val="22"/>
        </w:rPr>
        <w:t xml:space="preserve">Drying: </w:t>
      </w:r>
      <w:r>
        <w:rPr>
          <w:rFonts w:ascii="Calibri" w:cs="Calibri" w:eastAsia="Calibri" w:hAnsi="Calibri"/>
          <w:color w:val="1B1B1B"/>
          <w:sz w:val="22"/>
          <w:szCs w:val="22"/>
        </w:rPr>
        <w:t xml:space="preserve">Sun-drying to 10–12% moisture for safe storage.</w:t>
      </w:r>
    </w:p>
    <w:p>
      <w:pPr>
        <w:pStyle w:val="ListParagraph"/>
        <w:numPr>
          <w:ilvl w:val="0"/>
          <w:numId w:val="2"/>
        </w:numPr>
        <w:spacing w:after="80" w:line="290"/>
      </w:pPr>
      <w:r>
        <w:rPr>
          <w:rFonts w:ascii="Calibri" w:cs="Calibri" w:eastAsia="Calibri" w:hAnsi="Calibri"/>
          <w:b/>
          <w:bCs/>
          <w:color w:val="1B1B1B"/>
          <w:sz w:val="22"/>
          <w:szCs w:val="22"/>
        </w:rPr>
        <w:t xml:space="preserve">Sorting and grading: </w:t>
      </w:r>
      <w:r>
        <w:rPr>
          <w:rFonts w:ascii="Calibri" w:cs="Calibri" w:eastAsia="Calibri" w:hAnsi="Calibri"/>
          <w:color w:val="1B1B1B"/>
          <w:sz w:val="22"/>
          <w:szCs w:val="22"/>
        </w:rPr>
        <w:t xml:space="preserve">Hand-sorting at smallholder scale; mechanical sorting at commercial scale (limited current regional scale). Lentils trade in multiple market classes — red, green, brown, black — with separate price points.</w:t>
      </w:r>
    </w:p>
    <w:p>
      <w:pPr>
        <w:pStyle w:val="ListParagraph"/>
        <w:numPr>
          <w:ilvl w:val="0"/>
          <w:numId w:val="2"/>
        </w:numPr>
        <w:spacing w:after="80" w:line="290"/>
      </w:pPr>
      <w:r>
        <w:rPr>
          <w:rFonts w:ascii="Calibri" w:cs="Calibri" w:eastAsia="Calibri" w:hAnsi="Calibri"/>
          <w:b/>
          <w:bCs/>
          <w:color w:val="1B1B1B"/>
          <w:sz w:val="22"/>
          <w:szCs w:val="22"/>
        </w:rPr>
        <w:t xml:space="preserve">Storage: </w:t>
      </w:r>
      <w:r>
        <w:rPr>
          <w:rFonts w:ascii="Calibri" w:cs="Calibri" w:eastAsia="Calibri" w:hAnsi="Calibri"/>
          <w:color w:val="1B1B1B"/>
          <w:sz w:val="22"/>
          <w:szCs w:val="22"/>
        </w:rPr>
        <w:t xml:space="preserve">Polypropylene bags; emerging PICS bag adoption; commercial bulk storage at limited regional scale.</w:t>
      </w:r>
    </w:p>
    <w:p>
      <w:pPr>
        <w:pStyle w:val="ListParagraph"/>
        <w:numPr>
          <w:ilvl w:val="0"/>
          <w:numId w:val="2"/>
        </w:numPr>
        <w:spacing w:after="80" w:line="290"/>
      </w:pPr>
      <w:r>
        <w:rPr>
          <w:rFonts w:ascii="Calibri" w:cs="Calibri" w:eastAsia="Calibri" w:hAnsi="Calibri"/>
          <w:b/>
          <w:bCs/>
          <w:color w:val="1B1B1B"/>
          <w:sz w:val="22"/>
          <w:szCs w:val="22"/>
        </w:rPr>
        <w:t xml:space="preserve">Pest control: </w:t>
      </w:r>
      <w:r>
        <w:rPr>
          <w:rFonts w:ascii="Calibri" w:cs="Calibri" w:eastAsia="Calibri" w:hAnsi="Calibri"/>
          <w:color w:val="1B1B1B"/>
          <w:sz w:val="22"/>
          <w:szCs w:val="22"/>
        </w:rPr>
        <w:t xml:space="preserve">Bruchid pressure; some grain moth pressure. Hermetic storage and standard pulse storage practices apply.</w:t>
      </w:r>
    </w:p>
    <w:p>
      <w:pPr>
        <w:pStyle w:val="Heading3"/>
        <w:spacing w:after="60" w:before="160"/>
      </w:pPr>
      <w:r>
        <w:rPr>
          <w:rFonts w:ascii="Calibri" w:cs="Calibri" w:eastAsia="Calibri" w:hAnsi="Calibri"/>
          <w:b/>
          <w:bCs/>
          <w:color w:val="1B1B1B"/>
          <w:sz w:val="23"/>
          <w:szCs w:val="23"/>
        </w:rPr>
        <w:t xml:space="preserve">The processing &amp; value-add landscape</w:t>
      </w:r>
    </w:p>
    <w:p>
      <w:pPr>
        <w:pStyle w:val="ListParagraph"/>
        <w:numPr>
          <w:ilvl w:val="0"/>
          <w:numId w:val="2"/>
        </w:numPr>
        <w:spacing w:after="80" w:line="290"/>
      </w:pPr>
      <w:r>
        <w:rPr>
          <w:rFonts w:ascii="Calibri" w:cs="Calibri" w:eastAsia="Calibri" w:hAnsi="Calibri"/>
          <w:b/>
          <w:bCs/>
          <w:color w:val="1B1B1B"/>
          <w:sz w:val="22"/>
          <w:szCs w:val="22"/>
        </w:rPr>
        <w:t xml:space="preserve">Sorting, grading and bagging (the limited commercial channel): </w:t>
      </w:r>
      <w:r>
        <w:rPr>
          <w:rFonts w:ascii="Calibri" w:cs="Calibri" w:eastAsia="Calibri" w:hAnsi="Calibri"/>
          <w:color w:val="1B1B1B"/>
          <w:sz w:val="22"/>
          <w:szCs w:val="22"/>
        </w:rPr>
        <w:t xml:space="preserve">Most regional lentil trade currently moves as imported retail product; emerging domestic production aggregation infrastructure remains limited.</w:t>
      </w:r>
    </w:p>
    <w:p>
      <w:pPr>
        <w:pStyle w:val="ListParagraph"/>
        <w:numPr>
          <w:ilvl w:val="0"/>
          <w:numId w:val="2"/>
        </w:numPr>
        <w:spacing w:after="80" w:line="290"/>
      </w:pPr>
      <w:r>
        <w:rPr>
          <w:rFonts w:ascii="Calibri" w:cs="Calibri" w:eastAsia="Calibri" w:hAnsi="Calibri"/>
          <w:b/>
          <w:bCs/>
          <w:color w:val="1B1B1B"/>
          <w:sz w:val="22"/>
          <w:szCs w:val="22"/>
        </w:rPr>
        <w:t xml:space="preserve">Splitting and dehulling for dahl: </w:t>
      </w:r>
      <w:r>
        <w:rPr>
          <w:rFonts w:ascii="Calibri" w:cs="Calibri" w:eastAsia="Calibri" w:hAnsi="Calibri"/>
          <w:color w:val="1B1B1B"/>
          <w:sz w:val="22"/>
          <w:szCs w:val="22"/>
        </w:rPr>
        <w:t xml:space="preserve">Some commercial dahl production from imported and domestic lentils; principally serving regional South Asian community markets.</w:t>
      </w:r>
    </w:p>
    <w:p>
      <w:pPr>
        <w:pStyle w:val="ListParagraph"/>
        <w:numPr>
          <w:ilvl w:val="0"/>
          <w:numId w:val="2"/>
        </w:numPr>
        <w:spacing w:after="80" w:line="290"/>
      </w:pPr>
      <w:r>
        <w:rPr>
          <w:rFonts w:ascii="Calibri" w:cs="Calibri" w:eastAsia="Calibri" w:hAnsi="Calibri"/>
          <w:b/>
          <w:bCs/>
          <w:color w:val="1B1B1B"/>
          <w:sz w:val="22"/>
          <w:szCs w:val="22"/>
        </w:rPr>
        <w:t xml:space="preserve">Lentil flour and specialty products: </w:t>
      </w:r>
      <w:r>
        <w:rPr>
          <w:rFonts w:ascii="Calibri" w:cs="Calibri" w:eastAsia="Calibri" w:hAnsi="Calibri"/>
          <w:color w:val="1B1B1B"/>
          <w:sz w:val="22"/>
          <w:szCs w:val="22"/>
        </w:rPr>
        <w:t xml:space="preserve">Limited current regional commercial scale; emerging premium-niche operators.</w:t>
      </w:r>
    </w:p>
    <w:p>
      <w:pPr>
        <w:pStyle w:val="ListParagraph"/>
        <w:numPr>
          <w:ilvl w:val="0"/>
          <w:numId w:val="2"/>
        </w:numPr>
        <w:spacing w:after="80" w:line="290"/>
      </w:pPr>
      <w:r>
        <w:rPr>
          <w:rFonts w:ascii="Calibri" w:cs="Calibri" w:eastAsia="Calibri" w:hAnsi="Calibri"/>
          <w:b/>
          <w:bCs/>
          <w:color w:val="1B1B1B"/>
          <w:sz w:val="22"/>
          <w:szCs w:val="22"/>
        </w:rPr>
        <w:t xml:space="preserve">Animal feed (off-grade): </w:t>
      </w:r>
      <w:r>
        <w:rPr>
          <w:rFonts w:ascii="Calibri" w:cs="Calibri" w:eastAsia="Calibri" w:hAnsi="Calibri"/>
          <w:color w:val="1B1B1B"/>
          <w:sz w:val="22"/>
          <w:szCs w:val="22"/>
        </w:rPr>
        <w:t xml:space="preserve">Off-grade and damaged lentils as livestock feed; minor scale.</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Emerging premium-retail single-origin Mt Kenya highland lentil brands; specialty restaurant-supply chains.</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Moisture content: 11.5% maximum for safe storage.</w:t>
      </w:r>
    </w:p>
    <w:p>
      <w:pPr>
        <w:pStyle w:val="ListParagraph"/>
        <w:numPr>
          <w:ilvl w:val="0"/>
          <w:numId w:val="2"/>
        </w:numPr>
        <w:spacing w:after="80" w:line="290"/>
      </w:pPr>
      <w:r>
        <w:rPr>
          <w:rFonts w:ascii="Calibri" w:cs="Calibri" w:eastAsia="Calibri" w:hAnsi="Calibri"/>
          <w:color w:val="1B1B1B"/>
          <w:sz w:val="22"/>
          <w:szCs w:val="22"/>
        </w:rPr>
        <w:t xml:space="preserve">Foreign matter: typically maximum 0.5% for premium grade.</w:t>
      </w:r>
    </w:p>
    <w:p>
      <w:pPr>
        <w:pStyle w:val="ListParagraph"/>
        <w:numPr>
          <w:ilvl w:val="0"/>
          <w:numId w:val="2"/>
        </w:numPr>
        <w:spacing w:after="80" w:line="290"/>
      </w:pPr>
      <w:r>
        <w:rPr>
          <w:rFonts w:ascii="Calibri" w:cs="Calibri" w:eastAsia="Calibri" w:hAnsi="Calibri"/>
          <w:color w:val="1B1B1B"/>
          <w:sz w:val="22"/>
          <w:szCs w:val="22"/>
        </w:rPr>
        <w:t xml:space="preserve">Damaged kernels: typically maximum 2–3% for premium grade.</w:t>
      </w:r>
    </w:p>
    <w:p>
      <w:pPr>
        <w:pStyle w:val="ListParagraph"/>
        <w:numPr>
          <w:ilvl w:val="0"/>
          <w:numId w:val="2"/>
        </w:numPr>
        <w:spacing w:after="80" w:line="290"/>
      </w:pPr>
      <w:r>
        <w:rPr>
          <w:rFonts w:ascii="Calibri" w:cs="Calibri" w:eastAsia="Calibri" w:hAnsi="Calibri"/>
          <w:color w:val="1B1B1B"/>
          <w:sz w:val="22"/>
          <w:szCs w:val="22"/>
        </w:rPr>
        <w:t xml:space="preserve">Class purity: typically minimum 95% single-class for premium retail.</w:t>
      </w:r>
    </w:p>
    <w:p>
      <w:pPr>
        <w:pStyle w:val="ListParagraph"/>
        <w:numPr>
          <w:ilvl w:val="0"/>
          <w:numId w:val="2"/>
        </w:numPr>
        <w:spacing w:after="80" w:line="290"/>
      </w:pPr>
      <w:r>
        <w:rPr>
          <w:rFonts w:ascii="Calibri" w:cs="Calibri" w:eastAsia="Calibri" w:hAnsi="Calibri"/>
          <w:color w:val="1B1B1B"/>
          <w:sz w:val="22"/>
          <w:szCs w:val="22"/>
        </w:rPr>
        <w:t xml:space="preserve">Certification: KEBS, TBS, UNBS standards apply.</w:t>
      </w:r>
    </w:p>
    <w:p>
      <w:pPr>
        <w:pStyle w:val="Heading3"/>
        <w:spacing w:after="60" w:before="160"/>
      </w:pPr>
      <w:r>
        <w:rPr>
          <w:rFonts w:ascii="Calibri" w:cs="Calibri" w:eastAsia="Calibri" w:hAnsi="Calibri"/>
          <w:b/>
          <w:bCs/>
          <w:color w:val="1B1B1B"/>
          <w:sz w:val="23"/>
          <w:szCs w:val="23"/>
        </w:rPr>
        <w:t xml:space="preserve">Where to source equipment, services, and processors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Equipment: regional imports; KALRO Embu-linked emerging supplier networks. Aggregators: limited; emerging premium-niche operators.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Equipment: regional imports. Aggregators: limited; emerging Mt Kilimanjaro and Southern Highland cooperative pilots.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Limited; pilot stage only.</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Limited; pilot stage only.</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Limited; pilot stage only.</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Lentil post-harvest is the regional minor-pulse watching-brief category — limited current production scale, structural import-substitution potential, emerging premium-retail trajectory through 2024–2026 and beyond.</w:t>
      </w:r>
    </w:p>
    <w:p>
      <w:pPr>
        <w:spacing w:after="120" w:line="300"/>
      </w:pPr>
      <w:r>
        <w:rPr>
          <w:rFonts w:ascii="Calibri" w:cs="Calibri" w:eastAsia="Calibri" w:hAnsi="Calibri"/>
          <w:color w:val="1B1B1B"/>
          <w:sz w:val="22"/>
          <w:szCs w:val="22"/>
        </w:rPr>
        <w:t xml:space="preserve">For pilot-stage lentil producers in highland regional zones, the actionable rule is small-scale cooperative aggregation with quality-graded sorting; commercial scale-up depends on coordinated production-and-processing investment that has not yet materialised. For impact investors, lentil import substitution represents one of the clearest available emerging-pulse opportunities in regional highland zones — paralleling the emerging quinoa, tef and chickpea trajectories documented elsewhere in the Series.</w:t>
      </w:r>
    </w:p>
    <w:p>
      <w:r>
        <w:br w:type="page"/>
      </w:r>
    </w:p>
    <w:p>
      <w:pPr>
        <w:pStyle w:val="Heading2"/>
        <w:spacing w:after="100" w:before="220"/>
      </w:pPr>
      <w:r>
        <w:rPr>
          <w:rFonts w:ascii="Calibri" w:cs="Calibri" w:eastAsia="Calibri" w:hAnsi="Calibri"/>
          <w:b/>
          <w:bCs/>
          <w:color w:val="2E7D32"/>
          <w:sz w:val="26"/>
          <w:szCs w:val="26"/>
        </w:rPr>
        <w:t xml:space="preserve">Cross-cutting recommendations</w:t>
      </w:r>
    </w:p>
    <w:p>
      <w:pPr>
        <w:pStyle w:val="ListParagraph"/>
        <w:numPr>
          <w:ilvl w:val="0"/>
          <w:numId w:val="2"/>
        </w:numPr>
        <w:spacing w:after="80" w:line="290"/>
      </w:pPr>
      <w:r>
        <w:rPr>
          <w:rFonts w:ascii="Calibri" w:cs="Calibri" w:eastAsia="Calibri" w:hAnsi="Calibri"/>
          <w:b/>
          <w:bCs/>
          <w:color w:val="2E7D32"/>
          <w:sz w:val="22"/>
          <w:szCs w:val="22"/>
        </w:rPr>
        <w:t xml:space="preserve">Make hermetic storage the foundational investment. </w:t>
      </w:r>
      <w:r>
        <w:rPr>
          <w:rFonts w:ascii="Calibri" w:cs="Calibri" w:eastAsia="Calibri" w:hAnsi="Calibri"/>
          <w:color w:val="1B1B1B"/>
          <w:sz w:val="22"/>
          <w:szCs w:val="22"/>
        </w:rPr>
        <w:t xml:space="preserve">PICS bags for smallholders; metal silos for cooperatives; commercial bulk silos with fumigation for export aggregation. The bruchid-loss reduction is the most empirically documented post-harvest intervention in regional legume agriculture.</w:t>
      </w:r>
    </w:p>
    <w:p>
      <w:pPr>
        <w:pStyle w:val="ListParagraph"/>
        <w:numPr>
          <w:ilvl w:val="0"/>
          <w:numId w:val="2"/>
        </w:numPr>
        <w:spacing w:after="80" w:line="290"/>
      </w:pPr>
      <w:r>
        <w:rPr>
          <w:rFonts w:ascii="Calibri" w:cs="Calibri" w:eastAsia="Calibri" w:hAnsi="Calibri"/>
          <w:b/>
          <w:bCs/>
          <w:color w:val="2E7D32"/>
          <w:sz w:val="22"/>
          <w:szCs w:val="22"/>
        </w:rPr>
        <w:t xml:space="preserve">Integrate aflatoxin management for groundnut. </w:t>
      </w:r>
      <w:r>
        <w:rPr>
          <w:rFonts w:ascii="Calibri" w:cs="Calibri" w:eastAsia="Calibri" w:hAnsi="Calibri"/>
          <w:color w:val="1B1B1B"/>
          <w:sz w:val="22"/>
          <w:szCs w:val="22"/>
        </w:rPr>
        <w:t xml:space="preserve">Aflasafe at flowering; rapid windrow drying; tight kernel-moisture management (8–10%); hermetic storage; laboratory testing through KEPHIS, TBS, UNBS, and the PACA-affiliated regional aflatoxin laboratory network. The combination is non-negotiable for export-grade groundnut and is increasingly important for domestic public-health-grade supply.</w:t>
      </w:r>
    </w:p>
    <w:p>
      <w:pPr>
        <w:pStyle w:val="ListParagraph"/>
        <w:numPr>
          <w:ilvl w:val="0"/>
          <w:numId w:val="2"/>
        </w:numPr>
        <w:spacing w:after="80" w:line="290"/>
      </w:pPr>
      <w:r>
        <w:rPr>
          <w:rFonts w:ascii="Calibri" w:cs="Calibri" w:eastAsia="Calibri" w:hAnsi="Calibri"/>
          <w:b/>
          <w:bCs/>
          <w:color w:val="2E7D32"/>
          <w:sz w:val="22"/>
          <w:szCs w:val="22"/>
        </w:rPr>
        <w:t xml:space="preserve">Build the cooperative-grading layer. </w:t>
      </w:r>
      <w:r>
        <w:rPr>
          <w:rFonts w:ascii="Calibri" w:cs="Calibri" w:eastAsia="Calibri" w:hAnsi="Calibri"/>
          <w:color w:val="1B1B1B"/>
          <w:sz w:val="22"/>
          <w:szCs w:val="22"/>
        </w:rPr>
        <w:t xml:space="preserve">Common bean, pigeon pea, chickpea, and green gram all reward sorting-and-grading discipline through structural premium-versus-mixed-class price differentials. Cooperative-scale mechanical sorting infrastructure captures premium that currently accrues to mid-stream aggregators. The intermediate cooperative layer is structurally under-developed across most regional countries.</w:t>
      </w:r>
    </w:p>
    <w:p>
      <w:pPr>
        <w:pStyle w:val="ListParagraph"/>
        <w:numPr>
          <w:ilvl w:val="0"/>
          <w:numId w:val="2"/>
        </w:numPr>
        <w:spacing w:after="80" w:line="290"/>
      </w:pPr>
      <w:r>
        <w:rPr>
          <w:rFonts w:ascii="Calibri" w:cs="Calibri" w:eastAsia="Calibri" w:hAnsi="Calibri"/>
          <w:b/>
          <w:bCs/>
          <w:color w:val="2E7D32"/>
          <w:sz w:val="22"/>
          <w:szCs w:val="22"/>
        </w:rPr>
        <w:t xml:space="preserve">Use the contracted-grower model where it works. </w:t>
      </w:r>
      <w:r>
        <w:rPr>
          <w:rFonts w:ascii="Calibri" w:cs="Calibri" w:eastAsia="Calibri" w:hAnsi="Calibri"/>
          <w:color w:val="1B1B1B"/>
          <w:sz w:val="22"/>
          <w:szCs w:val="22"/>
        </w:rPr>
        <w:t xml:space="preserve">Soybean contracted-crushing models (Mukwano, Bidco, Bakhresa); pigeon pea and chickpea Indian-export aggregator models (ETG, Olam, AGCOT-cluster aggregators); groundnut export-grade testing models. The contract carries the agronomic protocol, the post-harvest infrastructure, and the quality-tested delivery together.</w:t>
      </w:r>
    </w:p>
    <w:p>
      <w:pPr>
        <w:pStyle w:val="ListParagraph"/>
        <w:numPr>
          <w:ilvl w:val="0"/>
          <w:numId w:val="2"/>
        </w:numPr>
        <w:spacing w:after="80" w:line="290"/>
      </w:pPr>
      <w:r>
        <w:rPr>
          <w:rFonts w:ascii="Calibri" w:cs="Calibri" w:eastAsia="Calibri" w:hAnsi="Calibri"/>
          <w:b/>
          <w:bCs/>
          <w:color w:val="2E7D32"/>
          <w:sz w:val="22"/>
          <w:szCs w:val="22"/>
        </w:rPr>
        <w:t xml:space="preserve">Develop the regional value-add infrastructure. </w:t>
      </w:r>
      <w:r>
        <w:rPr>
          <w:rFonts w:ascii="Calibri" w:cs="Calibri" w:eastAsia="Calibri" w:hAnsi="Calibri"/>
          <w:color w:val="1B1B1B"/>
          <w:sz w:val="22"/>
          <w:szCs w:val="22"/>
        </w:rPr>
        <w:t xml:space="preserve">Bean canning and dehydrated convenience products; chickpea-flour and hummus product lines; cowpea and green gram pre-cooked and sprouted-bean retail; lentil and pigeon-pea dahl manufacturing. The regional commercial value-add infrastructure remains structurally under-developed relative to underlying production volumes — representing the clearest available legume-sector commercial-development opportunity.</w:t>
      </w:r>
    </w:p>
    <w:p>
      <w:pPr>
        <w:pBdr>
          <w:bottom w:val="single" w:color="79B93E" w:sz="6" w:space="1"/>
        </w:pBdr>
        <w:spacing w:after="60" w:before="60"/>
      </w:pPr>
      <w:r>
        <w:t xml:space="preserve"/>
      </w:r>
    </w:p>
    <w:p>
      <w:pPr>
        <w:pStyle w:val="Heading2"/>
        <w:spacing w:after="100" w:before="220"/>
      </w:pPr>
      <w:r>
        <w:rPr>
          <w:rFonts w:ascii="Calibri" w:cs="Calibri" w:eastAsia="Calibri" w:hAnsi="Calibri"/>
          <w:b/>
          <w:bCs/>
          <w:color w:val="2E7D32"/>
          <w:sz w:val="26"/>
          <w:szCs w:val="26"/>
        </w:rPr>
        <w:t xml:space="preserve">Editor’s note</w:t>
      </w:r>
    </w:p>
    <w:p>
      <w:pPr>
        <w:spacing w:after="120" w:line="300"/>
      </w:pPr>
      <w:r>
        <w:rPr>
          <w:rFonts w:ascii="Calibri" w:cs="Calibri" w:eastAsia="Calibri" w:hAnsi="Calibri"/>
          <w:color w:val="1B1B1B"/>
          <w:sz w:val="22"/>
          <w:szCs w:val="22"/>
        </w:rPr>
        <w:t xml:space="preserve">This Issue is the second of nine planned in Post-Harvest Series 1. Legume post-harvest infrastructure, equipment availability, processor commercial structures, and regulatory standards (particularly aflatoxin testing protocols and EAC harmonised pulse standards) all evolve year-by-year. Corrections, updates, and contemporary commercial-pilot information from extension officers, equipment suppliers, processors, exporters, cooperatives and growers are welcomed at editor@kilimokwanza.org.</w:t>
      </w:r>
    </w:p>
    <w:p>
      <w:pPr>
        <w:spacing w:after="120" w:line="300"/>
      </w:pPr>
      <w:r>
        <w:rPr>
          <w:rFonts w:ascii="Calibri" w:cs="Calibri" w:eastAsia="Calibri" w:hAnsi="Calibri"/>
          <w:color w:val="1B1B1B"/>
          <w:sz w:val="22"/>
          <w:szCs w:val="22"/>
        </w:rPr>
        <w:t xml:space="preserve">Coming next — Issue 3 • Oilseeds Post-Harvest: sunflower, sesame, canola, cottonseed, linseed, and castor. The crop category that carries the regional cooking-oil and industrial-oil value chain — with the contracted-grower-and-crusher model returning as the dominant commercial framework, and the post-harvest discipline anchored by drying, decortication, and oil-extraction efficiency.</w:t>
      </w:r>
    </w:p>
    <w:p>
      <w:pPr>
        <w:spacing w:after="120" w:line="300"/>
      </w:pPr>
      <w:r>
        <w:rPr>
          <w:rFonts w:ascii="Calibri" w:cs="Calibri" w:eastAsia="Calibri" w:hAnsi="Calibri"/>
          <w:i/>
          <w:iCs/>
          <w:color w:val="5F6263"/>
          <w:sz w:val="20"/>
          <w:szCs w:val="20"/>
        </w:rPr>
        <w:t xml:space="preserve">Compiled by the Kilimokwanza Editorial Desk  •  Series Editor: Anthony Muchoki  •  </w:t>
      </w:r>
      <w:r>
        <w:rPr>
          <w:rFonts w:ascii="Calibri" w:cs="Calibri" w:eastAsia="Calibri" w:hAnsi="Calibri"/>
          <w:b/>
          <w:bCs/>
          <w:i/>
          <w:iCs/>
          <w:color w:val="2E7D32"/>
          <w:sz w:val="20"/>
          <w:szCs w:val="20"/>
        </w:rPr>
        <w:t xml:space="preserve">kilimokwanza.org</w:t>
      </w:r>
    </w:p>
    <w:sectPr>
      <w:headerReference w:type="default" r:id="rId7"/>
      <w:footerReference w:type="default" r:id="rId8"/>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79B93E" w:sz="6" w:space="4"/>
      </w:pBdr>
      <w:tabs>
        <w:tab w:val="center" w:pos="4680"/>
        <w:tab w:val="right" w:pos="9026"/>
      </w:tabs>
    </w:pPr>
    <w:r>
      <w:rPr>
        <w:rFonts w:ascii="Calibri" w:cs="Calibri" w:eastAsia="Calibri" w:hAnsi="Calibri"/>
        <w:color w:val="5F6263"/>
        <w:sz w:val="18"/>
        <w:szCs w:val="18"/>
      </w:rPr>
      <w:t xml:space="preserve">© 2026 Kilimokwanza.org</w:t>
    </w:r>
    <w:r>
      <w:t xml:space="preserve">	</w:t>
    </w:r>
    <w:r>
      <w:rPr>
        <w:rFonts w:ascii="Calibri" w:cs="Calibri" w:eastAsia="Calibri" w:hAnsi="Calibri"/>
        <w:i/>
        <w:iCs/>
        <w:color w:val="5F6263"/>
        <w:sz w:val="18"/>
        <w:szCs w:val="18"/>
      </w:rPr>
      <w:t xml:space="preserve">Legumes Post-Harvest  •  East Africa</w:t>
    </w:r>
    <w:r>
      <w:t xml:space="preserve">	</w:t>
    </w:r>
    <w:r>
      <w:rPr>
        <w:rFonts w:ascii="Calibri" w:cs="Calibri" w:eastAsia="Calibri" w:hAnsi="Calibri"/>
        <w:color w:val="5F6263"/>
        <w:sz w:val="18"/>
        <w:szCs w:val="18"/>
      </w:rPr>
      <w:t xml:space="preserve">Page </w:t>
    </w:r>
    <w:r>
      <w:rPr>
        <w:rFonts w:ascii="Calibri" w:cs="Calibri" w:eastAsia="Calibri" w:hAnsi="Calibri"/>
        <w:color w:val="5F6263"/>
        <w:sz w:val="18"/>
        <w:szCs w:val="18"/>
      </w:rPr>
      <w:fldChar w:fldCharType="begin"/>
      <w:instrText xml:space="preserve">PAGE</w:instrText>
      <w:fldChar w:fldCharType="separate"/>
      <w:fldChar w:fldCharType="end"/>
    </w:r>
    <w:r>
      <w:rPr>
        <w:rFonts w:ascii="Calibri" w:cs="Calibri" w:eastAsia="Calibri" w:hAnsi="Calibri"/>
        <w:color w:val="5F6263"/>
        <w:sz w:val="18"/>
        <w:szCs w:val="18"/>
      </w:rPr>
      <w:t xml:space="preserve"> of </w:t>
    </w:r>
    <w:r>
      <w:rPr>
        <w:rFonts w:ascii="Calibri" w:cs="Calibri" w:eastAsia="Calibri" w:hAnsi="Calibri"/>
        <w:color w:val="5F6263"/>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79B93E" w:sz="6" w:space="4"/>
      </w:pBdr>
      <w:tabs>
        <w:tab w:val="right" w:pos="9026"/>
      </w:tabs>
      <w:spacing w:after="60"/>
    </w:pPr>
    <w:r>
      <w:rPr>
        <w:rFonts w:ascii="Calibri" w:cs="Calibri" w:eastAsia="Calibri" w:hAnsi="Calibri"/>
        <w:b/>
        <w:bCs/>
        <w:color w:val="2E7D32"/>
        <w:spacing w:val="40"/>
        <w:sz w:val="22"/>
        <w:szCs w:val="22"/>
      </w:rPr>
      <w:t xml:space="preserve">KILIMOKWANZA</w:t>
    </w:r>
    <w:r>
      <w:rPr>
        <w:rFonts w:ascii="Calibri" w:cs="Calibri" w:eastAsia="Calibri" w:hAnsi="Calibri"/>
        <w:color w:val="5F6263"/>
        <w:sz w:val="18"/>
        <w:szCs w:val="18"/>
      </w:rPr>
      <w:t xml:space="preserve">  |  Agriculture &amp; Agribusiness, East Africa</w:t>
    </w:r>
    <w:r>
      <w:t xml:space="preserve">	</w:t>
    </w:r>
    <w:r>
      <w:rPr>
        <w:rFonts w:ascii="Calibri" w:cs="Calibri" w:eastAsia="Calibri" w:hAnsi="Calibri"/>
        <w:i/>
        <w:iCs/>
        <w:color w:val="5F6263"/>
        <w:sz w:val="18"/>
        <w:szCs w:val="18"/>
      </w:rPr>
      <w:t xml:space="preserve">Post-Harvest Series 1 / Issue 2  •  2026  •  Legumes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rPr>
        <w:color w:val="79B93E"/>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Calibri" w:cs="Calibri" w:eastAsia="Calibri" w:hAnsi="Calibri"/>
      <w:b/>
      <w:bCs/>
      <w:color w:val="2E7D32"/>
      <w:sz w:val="32"/>
      <w:szCs w:val="32"/>
    </w:rPr>
  </w:style>
  <w:style w:type="paragraph" w:styleId="Heading2">
    <w:name w:val="Heading 2"/>
    <w:basedOn w:val="Normal"/>
    <w:next w:val="Normal"/>
    <w:qFormat/>
    <w:pPr>
      <w:spacing w:after="100" w:before="220"/>
      <w:outlineLvl w:val="1"/>
    </w:pPr>
    <w:rPr>
      <w:rFonts w:ascii="Calibri" w:cs="Calibri" w:eastAsia="Calibri" w:hAnsi="Calibri"/>
      <w:b/>
      <w:bCs/>
      <w:color w:val="2E7D32"/>
      <w:sz w:val="26"/>
      <w:szCs w:val="26"/>
    </w:rPr>
  </w:style>
  <w:style w:type="paragraph" w:styleId="Heading3">
    <w:name w:val="Heading 3"/>
    <w:basedOn w:val="Normal"/>
    <w:next w:val="Normal"/>
    <w:qFormat/>
    <w:pPr>
      <w:spacing w:after="60" w:before="160"/>
      <w:outlineLvl w:val="2"/>
    </w:pPr>
    <w:rPr>
      <w:rFonts w:ascii="Calibri" w:cs="Calibri" w:eastAsia="Calibri" w:hAnsi="Calibri"/>
      <w:b/>
      <w:bCs/>
      <w:color w:val="1B1B1B"/>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Post-Harvest Series 1 / Issue 2 — Legumes</dc:title>
  <dc:creator>Kilimokwanza.org</dc:creator>
  <dc:description>A post-harvest-and-processing infrastructure audit of the eight legume crops most central to East African agriculture: common beans, soybeans, groundnuts, pigeon peas, chickpeas, cowpeas, green grams, lentils.</dc:description>
  <cp:lastModifiedBy>Un-named</cp:lastModifiedBy>
  <cp:revision>1</cp:revision>
  <dcterms:created xsi:type="dcterms:W3CDTF">2026-05-03T07:16:33.247Z</dcterms:created>
  <dcterms:modified xsi:type="dcterms:W3CDTF">2026-05-03T07:16:33.261Z</dcterms:modified>
</cp:coreProperties>
</file>

<file path=docProps/custom.xml><?xml version="1.0" encoding="utf-8"?>
<Properties xmlns="http://schemas.openxmlformats.org/officeDocument/2006/custom-properties" xmlns:vt="http://schemas.openxmlformats.org/officeDocument/2006/docPropsVTypes"/>
</file>