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LIVESTOCK, FISHERIES &amp; APICULTURE SERIES  /  ISSUE 5  •  2026</w:t>
            </w:r>
          </w:p>
          <w:p>
            <w:pPr>
              <w:spacing w:after="80"/>
            </w:pPr>
            <w:r>
              <w:rPr>
                <w:rFonts w:ascii="Calibri" w:cs="Calibri" w:eastAsia="Calibri" w:hAnsi="Calibri"/>
                <w:b/>
                <w:bCs/>
                <w:color w:val="FFFFFF"/>
                <w:sz w:val="38"/>
                <w:szCs w:val="38"/>
              </w:rPr>
              <w:t xml:space="preserve">Layers</w:t>
            </w:r>
          </w:p>
          <w:p>
            <w:r>
              <w:rPr>
                <w:rFonts w:ascii="Calibri" w:cs="Calibri" w:eastAsia="Calibri" w:hAnsi="Calibri"/>
                <w:i/>
                <w:iCs/>
                <w:color w:val="FFFFFF"/>
                <w:sz w:val="24"/>
                <w:szCs w:val="24"/>
              </w:rPr>
              <w:t xml:space="preserve">Commercial egg production — the imported commercial hybrid hen and day-old chick supply chain foundation, the Newcastle Disease vaccination discipline, and the Kenchic-anchored regional commercial poultry industry reference — the fifth instalment of the Series</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Domains covered: Breeds &amp; Genetics; Production Systems; Feed &amp; Nutrition; Veterinary Services &amp; Animal Health; Egg Quality &amp; Cold Chain; Commercial Aggregation &amp; Processing; Specialty &amp; Value-Add</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This Issue is the fifth instalment of the Kilimokwanza Livestock, Fisheries &amp; Apiculture Series — the first of three poultry Issues covering commercial egg production (Issue 5 Layers), commercial meat-chicken production (Issue 6 Broilers), and indigenous-and-improved-indigenous chicken (Issue 7 Kienyeji-and-KARI-Improved). Where Issues 1–4 anchored the regional ruminant-livestock and pig commercial-development trajectories with structural emerging Halal-export reference (cattle, small-ruminants), structural pastoralist commercial-integration reference (cattle, small-ruminants), and structural ASF-discipline-and-domestic-commercial-development reference (pigs), Issue 5 (Layers) anchors a structurally distinctive commercial-development picture: the imported commercial hybrid hen and day-old-chick (DOC) supply chain foundation, the Newcastle Disease vaccination discipline, and the Kenchic-anchored regional commercial poultry industry reference.</w:t>
      </w:r>
    </w:p>
    <w:p>
      <w:pPr>
        <w:spacing w:after="120" w:line="300"/>
      </w:pPr>
      <w:r>
        <w:rPr>
          <w:rFonts w:ascii="Calibri" w:cs="Calibri" w:eastAsia="Calibri" w:hAnsi="Calibri"/>
          <w:color w:val="1B1B1B"/>
          <w:sz w:val="22"/>
          <w:szCs w:val="22"/>
        </w:rPr>
        <w:t xml:space="preserve">This Issue covers commercial layer production through the same seven anchor domains established in Issues 1–4: breeds and genetics (the imported commercial hybrid productivity-and-quality foundation); production systems (cage, deep litter, free-range, integrated commercial); feed and nutrition (with the structurally distinctive monogastric high-feed-cost vector paralleling pigs); veterinary services and animal health (with Newcastle Disease vaccination discipline as structural foundational vector and emerging Avian Influenza surveillance-and-response infrastructure); egg quality and cold chain (the commercial-grade access vector with structurally distinctive cool-storage rather than refrigerated cold-chain reference); commercial aggregation and processing (the Kenchic-anchored regional reference); and specialty and value-add (premium retail, free-range, organic, omega-3-enriched, specialty bird products).</w:t>
      </w:r>
    </w:p>
    <w:p>
      <w:pPr>
        <w:spacing w:after="120" w:line="300"/>
      </w:pPr>
      <w:r>
        <w:rPr>
          <w:rFonts w:ascii="Calibri" w:cs="Calibri" w:eastAsia="Calibri" w:hAnsi="Calibri"/>
          <w:color w:val="1B1B1B"/>
          <w:sz w:val="22"/>
          <w:szCs w:val="22"/>
        </w:rPr>
        <w:t xml:space="preserve">Three structural through-lines connect the seven domains and distinguish layers from previous Issues. First, the imported commercial hybrid hen genetics-and-DOC supply chain foundation — unlike cattle, small-ruminants, and pigs (where regional indigenous-and-cross-bred breeding-stock infrastructure can be maintained), commercial layer industry operates on structurally import-dependent commercial hybrid genetics through Hendrix Genetics, Hy-Line, Lohmann, and EW Group breeding pipelines. Second, the Newcastle Disease vaccination discipline is structurally critical for both smallholder and commercial layer productivity protection — the regional disease pressure framework is structurally different from ruminant FMD-and-PPR-and-ECF and pig ASF disease patterns, with NDV-and-AI dominating regional commercial-grade-and-trade considerations. Third, the Kenchic-anchored Kenyan industry provides the regional commercial poultry industry commercial-development reference, with emerging Ugachick-and-Biyinzika (Uganda), Interchick-and-AKM-Glitters (Tanzania), and emerging Rwandan-and-Burundian commercial operators paralleling the structural integrated breeding-and-DOC-and-feed-and-production-and-grading-and-retail commercial-development model.</w:t>
      </w:r>
    </w:p>
    <w:p>
      <w:r>
        <w:t xml:space="preserve"/>
      </w:r>
    </w:p>
    <w:p>
      <w:pPr>
        <w:pStyle w:val="Heading2"/>
        <w:spacing w:after="100" w:before="220"/>
      </w:pPr>
      <w:r>
        <w:rPr>
          <w:rFonts w:ascii="Calibri" w:cs="Calibri" w:eastAsia="Calibri" w:hAnsi="Calibri"/>
          <w:b/>
          <w:bCs/>
          <w:color w:val="2E7D32"/>
          <w:sz w:val="26"/>
          <w:szCs w:val="26"/>
        </w:rPr>
        <w:t xml:space="preserve">The eight regional commercial layer hybrids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Hybrid</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Origin</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Eggs/year</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Egg colour</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Adaptation</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Regional role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ISA Brown</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Hendrix Genetics, NL</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280–320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Brown</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Adaptable; high-management</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Regional commercial flagship</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Hyline Brown</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Hy-Line International, USA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280–320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Brown</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Adaptable; commercial reference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Significant commercial deployment</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Lohmann Brown</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Lohmann (EW Group), DE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280–320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Brown</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Adaptable; reliable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Significant commercial deployment</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Bovans Brown</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Hendrix Genetics, NL</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280–320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Brown</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Adaptable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Alternative regional commercial</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Hisex Brown</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Hendrix Genetics, NL</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280–300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Brown</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Adaptable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Emerging commercial</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ISA White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Hendrix Genetics, NL</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280–320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White</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Adaptable; lower regional demand</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Niche white-egg</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Lohmann LSL</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Lohmann (EW Group), DE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280–320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White</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Adaptable; lower regional demand</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Niche white-egg</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Indigenous × hybrid (improvised)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Local hatchery</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150–220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Variable</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Regional adapted</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Smallholder cross</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regional-role column tells the structural story. ISA Brown anchors the regional commercial flagship; Hyline Brown and Lohmann Brown serve as significant commercial deployment alongside ISA Brown; Bovans Brown and Hisex Brown serve as alternative-and-emerging commercial deployment; ISA White and Lohmann LSL anchor the niche white-egg commercial scale given regional brown-egg consumer preference; Indigenous × hybrid (improvised) crosses anchor the smallholder-cross structural reference (full coverage in Issue 7). The eggs/year column traces the commercial-grade structural productivity reference; the origin column anchors structural global-genetics dependency.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01</w:t>
            </w:r>
          </w:p>
          <w:p>
            <w:pPr>
              <w:spacing w:after="40"/>
            </w:pPr>
            <w:r>
              <w:rPr>
                <w:rFonts w:ascii="Calibri" w:cs="Calibri" w:eastAsia="Calibri" w:hAnsi="Calibri"/>
                <w:b/>
                <w:bCs/>
                <w:color w:val="FFFFFF"/>
                <w:sz w:val="36"/>
                <w:szCs w:val="36"/>
              </w:rPr>
              <w:t xml:space="preserve">Breeds &amp; Genetics</w:t>
            </w:r>
          </w:p>
          <w:p>
            <w:r>
              <w:rPr>
                <w:rFonts w:ascii="Calibri" w:cs="Calibri" w:eastAsia="Calibri" w:hAnsi="Calibri"/>
                <w:i/>
                <w:iCs/>
                <w:color w:val="FFFFFF"/>
                <w:sz w:val="20"/>
                <w:szCs w:val="20"/>
              </w:rPr>
              <w:t xml:space="preserve">Gallus gallus domesticus  •  Imported commercial hybrid hens</w:t>
            </w:r>
            <w:r>
              <w:rPr>
                <w:rFonts w:ascii="Calibri" w:cs="Calibri" w:eastAsia="Calibri" w:hAnsi="Calibri"/>
                <w:color w:val="FFFFFF"/>
                <w:sz w:val="20"/>
                <w:szCs w:val="20"/>
              </w:rPr>
              <w:t xml:space="preserve">   •   Mbegu za kuku wa mayai (Sw)  •  The DOC supply chain foundation</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LAY RATE</w:t>
            </w:r>
          </w:p>
          <w:p>
            <w:r>
              <w:rPr>
                <w:rFonts w:ascii="Calibri" w:cs="Calibri" w:eastAsia="Calibri" w:hAnsi="Calibri"/>
                <w:color w:val="1B1B1B"/>
                <w:sz w:val="20"/>
                <w:szCs w:val="20"/>
              </w:rPr>
              <w:t xml:space="preserve">Commercial hybrid 280–320 eggs/year (typical 18–80 weeks); indigenous 60–120 eggs/year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EGG WEIGHT</w:t>
            </w:r>
          </w:p>
          <w:p>
            <w:r>
              <w:rPr>
                <w:rFonts w:ascii="Calibri" w:cs="Calibri" w:eastAsia="Calibri" w:hAnsi="Calibri"/>
                <w:color w:val="1B1B1B"/>
                <w:sz w:val="20"/>
                <w:szCs w:val="20"/>
              </w:rPr>
              <w:t xml:space="preserve">Commercial hybrid 55–65 g/egg; indigenous 35–45 g/egg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HYBRID BREEDS</w:t>
            </w:r>
          </w:p>
          <w:p>
            <w:r>
              <w:rPr>
                <w:rFonts w:ascii="Calibri" w:cs="Calibri" w:eastAsia="Calibri" w:hAnsi="Calibri"/>
                <w:color w:val="1B1B1B"/>
                <w:sz w:val="20"/>
                <w:szCs w:val="20"/>
              </w:rPr>
              <w:t xml:space="preserve">ISA Brown, Hyline Brown, Lohmann Brown, Bovans Brown, Hisex Brown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Imported commercial hybrid breeds dominate; indigenous-and-improved-indigenous covered in Issue 7</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Layer genetics in East Africa is structurally dominated by imported commercial hybrid hens. Unlike cattle (Boran heritage), small-ruminants (Dorper-and-Galla heritage), and pig industry (limited indigenous-breed reference), regional commercial-layer industry operates almost entirely on imported commercial hybrid genetics: ISA Brown (the regional commercial-layer flagship from Hendrix Genetics, Netherlands), Hyline Brown (from Hy-Line International, USA), Lohmann Brown (from Lohmann Tierzucht, Germany, now part of EW Group), Bovans Brown (Hendrix Genetics), and Hisex Brown (Hendrix Genetics). These hybrid hens carry structurally exceptional commercial productivity — 280–320 eggs per year over the typical 18–80 week production cycle, structural feed-conversion efficiency, structural egg-quality-and-uniformity characteristics, and structural commercial-grade reliability — that anchors regional commercial layer production economics.</w:t>
      </w:r>
    </w:p>
    <w:p>
      <w:pPr>
        <w:spacing w:after="120" w:line="300"/>
      </w:pPr>
      <w:r>
        <w:rPr>
          <w:rFonts w:ascii="Calibri" w:cs="Calibri" w:eastAsia="Calibri" w:hAnsi="Calibri"/>
          <w:color w:val="1B1B1B"/>
          <w:sz w:val="22"/>
          <w:szCs w:val="22"/>
        </w:rPr>
        <w:t xml:space="preserve">The day-old chick (DOC) supply chain is the structural commercial layer industry foundation. Commercial hybrid hens are produced through structurally complex multi-generational breeding (great-grandparent stock, grandparent stock, parent stock, commercial layer hens) maintained globally by a small number of breeding companies (Hendrix Genetics, Hy-Line, Lohmann); regional commercial layer industry imports either parent stock (for limited regional hatching-and-multiplication) or directly imports DOCs from regional or international hatcheries. The DOC supply chain bottleneck — reliability, quality, biosecurity, and pricing of weekly DOC deliveries — is the foundational infrastructure that determines regional commercial layer operations capacity, with Kenchic-affiliated and emerging regional hatcheries anchoring regional DOC supply infrastructure.</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THE COMMERCIAL LAYER-HEN AND DAY-OLD-CHICK QUESTION</w:t>
            </w:r>
          </w:p>
          <w:p>
            <w:pPr>
              <w:spacing w:after="100" w:line="290"/>
            </w:pPr>
            <w:r>
              <w:rPr>
                <w:rFonts w:ascii="Calibri" w:cs="Calibri" w:eastAsia="Calibri" w:hAnsi="Calibri"/>
                <w:color w:val="1B1B1B"/>
                <w:sz w:val="21"/>
                <w:szCs w:val="21"/>
              </w:rPr>
              <w:t xml:space="preserve">The commercial layer-hen and day-old chick (DOC) supply chain is the structural commercial layer industry foundation. Unlike cattle, small-ruminants, and pigs (where breeding stock can be maintained at regional commercial-and-cooperative scale), commercial layer-hen genetics are structurally maintained by a small number of global breeding companies (Hendrix Genetics, Hy-Line International, Lohmann Tierzucht, EW Group) through multi-generational breeding (great-grandparent → grandparent → parent → commercial layer hen) that requires structural commercial-scale infrastructure unavailable at regional level for most operations. Regional commercial layer industry consequently operates on imported parent stock (for hatcheries) or directly imported DOCs.</w:t>
            </w:r>
          </w:p>
          <w:p>
            <w:pPr>
              <w:spacing w:after="100" w:line="290"/>
            </w:pPr>
            <w:r>
              <w:rPr>
                <w:rFonts w:ascii="Calibri" w:cs="Calibri" w:eastAsia="Calibri" w:hAnsi="Calibri"/>
                <w:color w:val="1B1B1B"/>
                <w:sz w:val="21"/>
                <w:szCs w:val="21"/>
              </w:rPr>
              <w:t xml:space="preserve">Day-old chicks are the structural commercial input. Layer DOCs (typically female-sex-sorted at hatchery) are delivered to commercial-and-smallholder layer operations at one day of age; brooded for 4–6 weeks; reared as growing pullets to point-of-lay (POL, typically 16–18 weeks of age); and transitioned to laying-hen housing for the 18–80 week typical commercial layer production cycle. DOC quality (uniformity, vigour, freedom from vertically-transmitted disease, breed-genetic accuracy) directly determines subsequent flock productivity-and-uniformity — making DOC-supplier reliability the structural commercial layer industry input bottleneck.</w:t>
            </w:r>
          </w:p>
          <w:p>
            <w:pPr>
              <w:spacing w:after="100" w:line="290"/>
            </w:pPr>
            <w:r>
              <w:rPr>
                <w:rFonts w:ascii="Calibri" w:cs="Calibri" w:eastAsia="Calibri" w:hAnsi="Calibri"/>
                <w:color w:val="1B1B1B"/>
                <w:sz w:val="21"/>
                <w:szCs w:val="21"/>
              </w:rPr>
              <w:t xml:space="preserve">The regional DOC supply infrastructure is anchored by Kenchic Limited (the Kenyan integrated DOC-and-feed-and-commercial-poultry reference operator, integrating breeding parent-stock, hatcheries, feed manufacturing, and commercial-poultry production); emerging Tanzanian, Ugandan, Rwandan, Burundian hatcheries; and direct DOC imports from international hatcheries (principally European and Indian sources) for regional commercial operations. The structural regional commercial layer industry challenge is DOC supply chain reliability — cooperative-and-commercial layer operations require structurally consistent weekly-or-bi-weekly DOC deliveries to maintain rolling production cycles.</w:t>
            </w:r>
          </w:p>
          <w:p>
            <w:pPr>
              <w:spacing w:after="100" w:line="290"/>
            </w:pPr>
            <w:r>
              <w:rPr>
                <w:rFonts w:ascii="Calibri" w:cs="Calibri" w:eastAsia="Calibri" w:hAnsi="Calibri"/>
                <w:color w:val="1B1B1B"/>
                <w:sz w:val="21"/>
                <w:szCs w:val="21"/>
              </w:rPr>
              <w:t xml:space="preserve">Beyond ISA Brown (the regional dominant commercial hybrid), Hyline Brown, Lohmann Brown, Bovans Brown, and Hisex Brown are the other major commercial layer hybrids deployed regionally. Brown-egg layers dominate regionally given consumer-and-retail preference for brown-shell eggs (white-egg layers like ISA White and Lohmann LSL are deployed at limited regional commercial scale). Each commercial hybrid carries structural breed-specific management protocols (vaccination schedules, lighting programmes, feeding curves, target weight-gain trajectories, expected lay-rate curves) supplied by the breeding company and structurally critical for productivity realisation.</w:t>
            </w:r>
          </w:p>
          <w:p>
            <w:pPr>
              <w:spacing w:after="100" w:line="290"/>
            </w:pPr>
            <w:r>
              <w:rPr>
                <w:rFonts w:ascii="Calibri" w:cs="Calibri" w:eastAsia="Calibri" w:hAnsi="Calibri"/>
                <w:color w:val="1B1B1B"/>
                <w:sz w:val="21"/>
                <w:szCs w:val="21"/>
              </w:rPr>
              <w:t xml:space="preserve">Smallholder layer operations face structural DOC-and-feed-supply commercial-development challenge. Smallholder layer households typically operate 50–500 layer hens; require structurally consistent DOC supply, feed supply, vaccination, and aggregator-buyer access for commercial viability. Cooperative smallholder layer aggregator infrastructure linking DOC-and-feed-and-veterinary-and-aggregator services to smallholder layer households represents the regional commercial-development reference; emerging regional cooperative layer commercial-development pilots in Kenyan, Tanzanian, Ugandan, Rwandan, Burundian smallholder zones extend the structural commercial-development trajectory.</w:t>
            </w:r>
          </w:p>
          <w:p>
            <w:pPr>
              <w:spacing w:after="0" w:line="290"/>
            </w:pPr>
            <w:r>
              <w:rPr>
                <w:rFonts w:ascii="Calibri" w:cs="Calibri" w:eastAsia="Calibri" w:hAnsi="Calibri"/>
                <w:color w:val="1B1B1B"/>
                <w:sz w:val="21"/>
                <w:szCs w:val="21"/>
              </w:rPr>
              <w:t xml:space="preserve">For commercial layer operators, the actionable rule is integrated DOC-and-feed-and-veterinary-and-aggregator infrastructure with structured imported commercial hybrid breed management. For smallholder layer producers, participation in cooperative-aggregator networks providing structured DOC-and-feed-and-veterinary-and-buyer infrastructure access. For impact investors and governments, supporting emerging regional hatchery-and-DOC supply infrastructure, cooperative smallholder layer commercial integration, and structured biosecurity-and-veterinary infrastructure represents the regional commercial layer industry commercial-development trajectory.</w:t>
            </w:r>
          </w:p>
        </w:tc>
      </w:tr>
    </w:tbl>
    <w:p>
      <w:r>
        <w:t xml:space="preserve"/>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ISA Brown (the regional commercial-layer flagship): </w:t>
      </w:r>
      <w:r>
        <w:rPr>
          <w:rFonts w:ascii="Calibri" w:cs="Calibri" w:eastAsia="Calibri" w:hAnsi="Calibri"/>
          <w:color w:val="1B1B1B"/>
          <w:sz w:val="22"/>
          <w:szCs w:val="22"/>
        </w:rPr>
        <w:t xml:space="preserve">Hendrix Genetics, Netherlands; brown-egg commercial hybrid; 280–320 eggs per year typical; structural commercial-grade lay-rate-and-egg-quality characteristics; the regional dominant commercial layer hybrid.</w:t>
      </w:r>
    </w:p>
    <w:p>
      <w:pPr>
        <w:pStyle w:val="ListParagraph"/>
        <w:numPr>
          <w:ilvl w:val="0"/>
          <w:numId w:val="2"/>
        </w:numPr>
        <w:spacing w:after="80" w:line="290"/>
      </w:pPr>
      <w:r>
        <w:rPr>
          <w:rFonts w:ascii="Calibri" w:cs="Calibri" w:eastAsia="Calibri" w:hAnsi="Calibri"/>
          <w:b/>
          <w:bCs/>
          <w:color w:val="1B1B1B"/>
          <w:sz w:val="22"/>
          <w:szCs w:val="22"/>
        </w:rPr>
        <w:t xml:space="preserve">Hyline Brown: </w:t>
      </w:r>
      <w:r>
        <w:rPr>
          <w:rFonts w:ascii="Calibri" w:cs="Calibri" w:eastAsia="Calibri" w:hAnsi="Calibri"/>
          <w:color w:val="1B1B1B"/>
          <w:sz w:val="22"/>
          <w:szCs w:val="22"/>
        </w:rPr>
        <w:t xml:space="preserve">Hy-Line International, USA; brown-egg commercial hybrid; 280–320 eggs per year typical; structural feed-conversion-and-lay-rate characteristics; significant regional commercial deployment.</w:t>
      </w:r>
    </w:p>
    <w:p>
      <w:pPr>
        <w:pStyle w:val="ListParagraph"/>
        <w:numPr>
          <w:ilvl w:val="0"/>
          <w:numId w:val="2"/>
        </w:numPr>
        <w:spacing w:after="80" w:line="290"/>
      </w:pPr>
      <w:r>
        <w:rPr>
          <w:rFonts w:ascii="Calibri" w:cs="Calibri" w:eastAsia="Calibri" w:hAnsi="Calibri"/>
          <w:b/>
          <w:bCs/>
          <w:color w:val="1B1B1B"/>
          <w:sz w:val="22"/>
          <w:szCs w:val="22"/>
        </w:rPr>
        <w:t xml:space="preserve">Lohmann Brown: </w:t>
      </w:r>
      <w:r>
        <w:rPr>
          <w:rFonts w:ascii="Calibri" w:cs="Calibri" w:eastAsia="Calibri" w:hAnsi="Calibri"/>
          <w:color w:val="1B1B1B"/>
          <w:sz w:val="22"/>
          <w:szCs w:val="22"/>
        </w:rPr>
        <w:t xml:space="preserve">Lohmann Tierzucht (EW Group), Germany; brown-egg commercial hybrid; 280–320 eggs per year typical; structural commercial-grade reliability; significant regional commercial deployment.</w:t>
      </w:r>
    </w:p>
    <w:p>
      <w:pPr>
        <w:pStyle w:val="ListParagraph"/>
        <w:numPr>
          <w:ilvl w:val="0"/>
          <w:numId w:val="2"/>
        </w:numPr>
        <w:spacing w:after="80" w:line="290"/>
      </w:pPr>
      <w:r>
        <w:rPr>
          <w:rFonts w:ascii="Calibri" w:cs="Calibri" w:eastAsia="Calibri" w:hAnsi="Calibri"/>
          <w:b/>
          <w:bCs/>
          <w:color w:val="1B1B1B"/>
          <w:sz w:val="22"/>
          <w:szCs w:val="22"/>
        </w:rPr>
        <w:t xml:space="preserve">Bovans Brown: </w:t>
      </w:r>
      <w:r>
        <w:rPr>
          <w:rFonts w:ascii="Calibri" w:cs="Calibri" w:eastAsia="Calibri" w:hAnsi="Calibri"/>
          <w:color w:val="1B1B1B"/>
          <w:sz w:val="22"/>
          <w:szCs w:val="22"/>
        </w:rPr>
        <w:t xml:space="preserve">Hendrix Genetics; brown-egg commercial hybrid; 280–320 eggs per year typical; structural alternative regional commercial deployment alongside ISA Brown.</w:t>
      </w:r>
    </w:p>
    <w:p>
      <w:pPr>
        <w:pStyle w:val="ListParagraph"/>
        <w:numPr>
          <w:ilvl w:val="0"/>
          <w:numId w:val="2"/>
        </w:numPr>
        <w:spacing w:after="80" w:line="290"/>
      </w:pPr>
      <w:r>
        <w:rPr>
          <w:rFonts w:ascii="Calibri" w:cs="Calibri" w:eastAsia="Calibri" w:hAnsi="Calibri"/>
          <w:b/>
          <w:bCs/>
          <w:color w:val="1B1B1B"/>
          <w:sz w:val="22"/>
          <w:szCs w:val="22"/>
        </w:rPr>
        <w:t xml:space="preserve">Hisex Brown: </w:t>
      </w:r>
      <w:r>
        <w:rPr>
          <w:rFonts w:ascii="Calibri" w:cs="Calibri" w:eastAsia="Calibri" w:hAnsi="Calibri"/>
          <w:color w:val="1B1B1B"/>
          <w:sz w:val="22"/>
          <w:szCs w:val="22"/>
        </w:rPr>
        <w:t xml:space="preserve">Hendrix Genetics; brown-egg commercial hybrid; 280–300 eggs per year typical; emerging regional commercial deployment.</w:t>
      </w:r>
    </w:p>
    <w:p>
      <w:pPr>
        <w:pStyle w:val="ListParagraph"/>
        <w:numPr>
          <w:ilvl w:val="0"/>
          <w:numId w:val="2"/>
        </w:numPr>
        <w:spacing w:after="80" w:line="290"/>
      </w:pPr>
      <w:r>
        <w:rPr>
          <w:rFonts w:ascii="Calibri" w:cs="Calibri" w:eastAsia="Calibri" w:hAnsi="Calibri"/>
          <w:b/>
          <w:bCs/>
          <w:color w:val="1B1B1B"/>
          <w:sz w:val="22"/>
          <w:szCs w:val="22"/>
        </w:rPr>
        <w:t xml:space="preserve">ISA White, Lohmann LSL (white-egg layers, limited regional): </w:t>
      </w:r>
      <w:r>
        <w:rPr>
          <w:rFonts w:ascii="Calibri" w:cs="Calibri" w:eastAsia="Calibri" w:hAnsi="Calibri"/>
          <w:color w:val="1B1B1B"/>
          <w:sz w:val="22"/>
          <w:szCs w:val="22"/>
        </w:rPr>
        <w:t xml:space="preserve">White-egg commercial hybrids; structurally smaller regional commercial deployment given regional brown-egg consumer preference; niche commercial-scale operations.</w:t>
      </w:r>
    </w:p>
    <w:p>
      <w:pPr>
        <w:pStyle w:val="ListParagraph"/>
        <w:numPr>
          <w:ilvl w:val="0"/>
          <w:numId w:val="2"/>
        </w:numPr>
        <w:spacing w:after="80" w:line="290"/>
      </w:pPr>
      <w:r>
        <w:rPr>
          <w:rFonts w:ascii="Calibri" w:cs="Calibri" w:eastAsia="Calibri" w:hAnsi="Calibri"/>
          <w:b/>
          <w:bCs/>
          <w:color w:val="1B1B1B"/>
          <w:sz w:val="22"/>
          <w:szCs w:val="22"/>
        </w:rPr>
        <w:t xml:space="preserve">Day-old chick supply chain (the structural commercial input): </w:t>
      </w:r>
      <w:r>
        <w:rPr>
          <w:rFonts w:ascii="Calibri" w:cs="Calibri" w:eastAsia="Calibri" w:hAnsi="Calibri"/>
          <w:color w:val="1B1B1B"/>
          <w:sz w:val="22"/>
          <w:szCs w:val="22"/>
        </w:rPr>
        <w:t xml:space="preserve">Female-sex-sorted at hatchery; delivered at one day of age; commercial DOC quality (uniformity, vigour, freedom from vertically-transmitted disease) directly determines subsequent flock productivity. Regional DOC supply infrastructure: Kenchic (Kenya); emerging Tanzanian, Ugandan, Rwandan, Burundian hatcheries; direct international hatchery imports.</w:t>
      </w:r>
    </w:p>
    <w:p>
      <w:pPr>
        <w:pStyle w:val="ListParagraph"/>
        <w:numPr>
          <w:ilvl w:val="0"/>
          <w:numId w:val="2"/>
        </w:numPr>
        <w:spacing w:after="80" w:line="290"/>
      </w:pPr>
      <w:r>
        <w:rPr>
          <w:rFonts w:ascii="Calibri" w:cs="Calibri" w:eastAsia="Calibri" w:hAnsi="Calibri"/>
          <w:b/>
          <w:bCs/>
          <w:color w:val="1B1B1B"/>
          <w:sz w:val="22"/>
          <w:szCs w:val="22"/>
        </w:rPr>
        <w:t xml:space="preserve">Indigenous and improved-indigenous chickens: </w:t>
      </w:r>
      <w:r>
        <w:rPr>
          <w:rFonts w:ascii="Calibri" w:cs="Calibri" w:eastAsia="Calibri" w:hAnsi="Calibri"/>
          <w:color w:val="1B1B1B"/>
          <w:sz w:val="22"/>
          <w:szCs w:val="22"/>
        </w:rPr>
        <w:t xml:space="preserve">Cross-reference Issue 7 of this Series for full coverage of indigenous and KARI-Improved-Indigenous chickens; structurally distinct commercial-development trajectory from imported commercial hybrid layers.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Regional hatchery-and-DOC supply infrastructure scale-up: </w:t>
      </w:r>
      <w:r>
        <w:rPr>
          <w:rFonts w:ascii="Calibri" w:cs="Calibri" w:eastAsia="Calibri" w:hAnsi="Calibri"/>
          <w:color w:val="1B1B1B"/>
          <w:sz w:val="22"/>
          <w:szCs w:val="22"/>
        </w:rPr>
        <w:t xml:space="preserve">Kenchic-affiliated regional DOC supply infrastructure expansion; emerging Tanzanian, Ugandan, Rwandan, Burundian hatcheries; significant trajectory through 2024–2026 alongside cooperative smallholder layer commercial-development.</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DOC supply networks: </w:t>
      </w:r>
      <w:r>
        <w:rPr>
          <w:rFonts w:ascii="Calibri" w:cs="Calibri" w:eastAsia="Calibri" w:hAnsi="Calibri"/>
          <w:color w:val="1B1B1B"/>
          <w:sz w:val="22"/>
          <w:szCs w:val="22"/>
        </w:rPr>
        <w:t xml:space="preserve">Cooperative smallholder layer aggregator-affiliated DOC supply networks (Kenchic-affiliated and emerging regional cooperative DOC distribution programmes); structural commercial-development trajectory addressing smallholder DOC-supply reliability gap.</w:t>
      </w:r>
    </w:p>
    <w:p>
      <w:pPr>
        <w:pStyle w:val="ListParagraph"/>
        <w:numPr>
          <w:ilvl w:val="0"/>
          <w:numId w:val="2"/>
        </w:numPr>
        <w:spacing w:after="80" w:line="290"/>
      </w:pPr>
      <w:r>
        <w:rPr>
          <w:rFonts w:ascii="Calibri" w:cs="Calibri" w:eastAsia="Calibri" w:hAnsi="Calibri"/>
          <w:b/>
          <w:bCs/>
          <w:color w:val="1B1B1B"/>
          <w:sz w:val="22"/>
          <w:szCs w:val="22"/>
        </w:rPr>
        <w:t xml:space="preserve">Vaccination-at-hatchery and integrated chick-services: </w:t>
      </w:r>
      <w:r>
        <w:rPr>
          <w:rFonts w:ascii="Calibri" w:cs="Calibri" w:eastAsia="Calibri" w:hAnsi="Calibri"/>
          <w:color w:val="1B1B1B"/>
          <w:sz w:val="22"/>
          <w:szCs w:val="22"/>
        </w:rPr>
        <w:t xml:space="preserve">Hatchery-stage vaccination (Marek’s, infectious bursal disease, Newcastle, infectious bronchitis); integrated chick-services (sexing, vaccination, beak-trimming where applicable, transport-to-customer); emerging regional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Imported parent-stock vs imported DOC trade-off: </w:t>
      </w:r>
      <w:r>
        <w:rPr>
          <w:rFonts w:ascii="Calibri" w:cs="Calibri" w:eastAsia="Calibri" w:hAnsi="Calibri"/>
          <w:color w:val="1B1B1B"/>
          <w:sz w:val="22"/>
          <w:szCs w:val="22"/>
        </w:rPr>
        <w:t xml:space="preserve">Regional emerging trajectory toward imported parent-stock (for regional hatching-and-multiplication) alongside imported DOCs (for direct commercial operations); structural commercial-development reference balancing import-dependence with regional infrastructure expansion.</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organic-and-pasture-raised commercial layer operations; emerging single-origin specialty layer brands; emerging niche specialty (e.g., omega-3-enriched eggs, free-range premium retail differentiation).</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DOC quality: structural commercial-grade DOC-quality protocols including uniformity, vigour, vertically-transmitted-disease-freedom, breed-genetic accuracy.</w:t>
      </w:r>
    </w:p>
    <w:p>
      <w:pPr>
        <w:pStyle w:val="ListParagraph"/>
        <w:numPr>
          <w:ilvl w:val="0"/>
          <w:numId w:val="2"/>
        </w:numPr>
        <w:spacing w:after="80" w:line="290"/>
      </w:pPr>
      <w:r>
        <w:rPr>
          <w:rFonts w:ascii="Calibri" w:cs="Calibri" w:eastAsia="Calibri" w:hAnsi="Calibri"/>
          <w:color w:val="1B1B1B"/>
          <w:sz w:val="22"/>
          <w:szCs w:val="22"/>
        </w:rPr>
        <w:t xml:space="preserve">Hatchery operations: HACCP-equivalent hatchery operational protocols; structural Marek’s-and-Newcastle-and-IBD-and-IB vaccination schedules.</w:t>
      </w:r>
    </w:p>
    <w:p>
      <w:pPr>
        <w:pStyle w:val="ListParagraph"/>
        <w:numPr>
          <w:ilvl w:val="0"/>
          <w:numId w:val="2"/>
        </w:numPr>
        <w:spacing w:after="80" w:line="290"/>
      </w:pPr>
      <w:r>
        <w:rPr>
          <w:rFonts w:ascii="Calibri" w:cs="Calibri" w:eastAsia="Calibri" w:hAnsi="Calibri"/>
          <w:color w:val="1B1B1B"/>
          <w:sz w:val="22"/>
          <w:szCs w:val="22"/>
        </w:rPr>
        <w:t xml:space="preserve">Commercial hybrid management: structural breed-specific management protocols (vaccination schedules, lighting programmes, feeding curves, target weight-gain trajectories) supplied by breeding company.</w:t>
      </w:r>
    </w:p>
    <w:p>
      <w:pPr>
        <w:pStyle w:val="ListParagraph"/>
        <w:numPr>
          <w:ilvl w:val="0"/>
          <w:numId w:val="2"/>
        </w:numPr>
        <w:spacing w:after="80" w:line="290"/>
      </w:pPr>
      <w:r>
        <w:rPr>
          <w:rFonts w:ascii="Calibri" w:cs="Calibri" w:eastAsia="Calibri" w:hAnsi="Calibri"/>
          <w:color w:val="1B1B1B"/>
          <w:sz w:val="22"/>
          <w:szCs w:val="22"/>
        </w:rPr>
        <w:t xml:space="preserve">Phytosanitary and animal-health certification: International animal health protocols for parent-stock-and-DOC trade; OIE-aligned regional standards; structural Avian-Influenza-and-Newcastle-status discipline for international DOC trade.</w:t>
      </w:r>
    </w:p>
    <w:p>
      <w:pPr>
        <w:pStyle w:val="ListParagraph"/>
        <w:numPr>
          <w:ilvl w:val="0"/>
          <w:numId w:val="2"/>
        </w:numPr>
        <w:spacing w:after="80" w:line="290"/>
      </w:pPr>
      <w:r>
        <w:rPr>
          <w:rFonts w:ascii="Calibri" w:cs="Calibri" w:eastAsia="Calibri" w:hAnsi="Calibri"/>
          <w:color w:val="1B1B1B"/>
          <w:sz w:val="22"/>
          <w:szCs w:val="22"/>
        </w:rPr>
        <w:t xml:space="preserve">Hatchery licensing: regional DVS-equivalent regulatory authority oversight.</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Hatcheries: Kenchic Limited (the regional DOC reference — integrated parent-stock, hatchery, feed, and commercial-poultry operations); emerging private hatcheries; importer-and-distributor networks for international hybrid genetics. Reference operations: commercial layer operations across Mt Kenya, Western Kenya, Rift Valley, Coast.</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Hatcheries: Interchick Tanzania; AKM Glitters; emerging Tanzanian hatcheries; AGCOT-cluster-affiliated emerging poultry operations. Reference operations: emerging commercial layer operations across Northern, Coast, Southern Highlands.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Hatcheries: Ugachick Poultry Breeders; Biyinzika Poultry; emerging private hatcheries. Reference operations: significant commercial layer operations across Central, Western, and Eastern Uganda.</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Hatcheries: emerging private hatcheries; emerging cooperative DOC distribution networks. Reference operations: emerging commercial layer operations across Eastern Province and Kigali peri-urban zones.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Hatcheries: emerging private and cooperative hatcheries. Reference operations: emerging cooperative-and-commercial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Layer genetics is structurally dominated by imported commercial hybrid hens (ISA Brown, Hyline Brown, Lohmann Brown, Bovans Brown, Hisex Brown) supplied through the day-old-chick (DOC) supply chain that anchors regional commercial layer industry. Unlike ruminant livestock and pigs (where regional indigenous-and-cross-bred breeding-stock infrastructure can be maintained), commercial layer industry operates on structurally import-dependent commercial hybrid genetics.</w:t>
      </w:r>
    </w:p>
    <w:p>
      <w:pPr>
        <w:spacing w:after="120" w:line="300"/>
      </w:pPr>
      <w:r>
        <w:rPr>
          <w:rFonts w:ascii="Calibri" w:cs="Calibri" w:eastAsia="Calibri" w:hAnsi="Calibri"/>
          <w:color w:val="1B1B1B"/>
          <w:sz w:val="22"/>
          <w:szCs w:val="22"/>
        </w:rPr>
        <w:t xml:space="preserve">For commercial layer operators, the actionable rule is integrated DOC-and-feed-and-veterinary-and-aggregator infrastructure with structured imported commercial hybrid breed management. For smallholder layer producers, participation in cooperative-aggregator networks providing structured DOC-and-feed-and-veterinary-and-buyer infrastructure access. For impact investors, scaling regional hatchery-and-DOC supply infrastructure and cooperative smallholder layer commercial integration represents the regional commercial layer industry commercial-development trajectory.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02</w:t>
            </w:r>
          </w:p>
          <w:p>
            <w:pPr>
              <w:spacing w:after="40"/>
            </w:pPr>
            <w:r>
              <w:rPr>
                <w:rFonts w:ascii="Calibri" w:cs="Calibri" w:eastAsia="Calibri" w:hAnsi="Calibri"/>
                <w:b/>
                <w:bCs/>
                <w:color w:val="FFFFFF"/>
                <w:sz w:val="36"/>
                <w:szCs w:val="36"/>
              </w:rPr>
              <w:t xml:space="preserve">Production Systems</w:t>
            </w:r>
          </w:p>
          <w:p>
            <w:r>
              <w:rPr>
                <w:rFonts w:ascii="Calibri" w:cs="Calibri" w:eastAsia="Calibri" w:hAnsi="Calibri"/>
                <w:i/>
                <w:iCs/>
                <w:color w:val="FFFFFF"/>
                <w:sz w:val="20"/>
                <w:szCs w:val="20"/>
              </w:rPr>
              <w:t xml:space="preserve">Cage  •  Deep litter  •  Free-range  •  Integrated commercial</w:t>
            </w:r>
            <w:r>
              <w:rPr>
                <w:rFonts w:ascii="Calibri" w:cs="Calibri" w:eastAsia="Calibri" w:hAnsi="Calibri"/>
                <w:color w:val="FFFFFF"/>
                <w:sz w:val="20"/>
                <w:szCs w:val="20"/>
              </w:rPr>
              <w:t xml:space="preserve">   •   Mfumo wa ufugaji wa kuku wa mayai (Sw)  •  Cage-and-deep-litter dual structure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SYSTEM TYPES</w:t>
            </w:r>
          </w:p>
          <w:p>
            <w:r>
              <w:rPr>
                <w:rFonts w:ascii="Calibri" w:cs="Calibri" w:eastAsia="Calibri" w:hAnsi="Calibri"/>
                <w:color w:val="1B1B1B"/>
                <w:sz w:val="20"/>
                <w:szCs w:val="20"/>
              </w:rPr>
              <w:t xml:space="preserve">Cage (battery, enriched); deep litter; free-range; integrated commercial</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STOCKING DENSITY</w:t>
            </w:r>
          </w:p>
          <w:p>
            <w:r>
              <w:rPr>
                <w:rFonts w:ascii="Calibri" w:cs="Calibri" w:eastAsia="Calibri" w:hAnsi="Calibri"/>
                <w:color w:val="1B1B1B"/>
                <w:sz w:val="20"/>
                <w:szCs w:val="20"/>
              </w:rPr>
              <w:t xml:space="preserve">Cage 5–7 hens/m² caged; deep litter 7–9 hens/m²; free-range 5–7 hens/m² outdoor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DAILY MANAGEMENT</w:t>
            </w:r>
          </w:p>
          <w:p>
            <w:r>
              <w:rPr>
                <w:rFonts w:ascii="Calibri" w:cs="Calibri" w:eastAsia="Calibri" w:hAnsi="Calibri"/>
                <w:color w:val="1B1B1B"/>
                <w:sz w:val="20"/>
                <w:szCs w:val="20"/>
              </w:rPr>
              <w:t xml:space="preserve">Cage intensive; deep litter semi-intensive; free-range extensive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Cage and deep litter dominate regional commercial; free-range emerging premium niche</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Layer production system choice determines daily management discipline, biosecurity capacity, productivity profile, and commercial-grade access. Four principal regional layer production systems shape commercial picture: cage systems (battery cage and emerging enriched-cage operations — the dominant regional commercial-layer model providing high stocking density, controlled environment, automated egg collection, and structural productivity efficiency); deep-litter systems (floor-based housing on bedding material — the dominant regional smallholder-and-medium-commercial model with structural balance between productivity and welfare); free-range systems (outdoor-access housing for premium retail and emerging organic operations); and integrated commercial operations (multi-stage commercial operations integrating breeding-and-DOC supply, growing pullet rearing, layer production, egg collection, grading-and-packing, and retail distribution).</w:t>
      </w:r>
    </w:p>
    <w:p>
      <w:pPr>
        <w:spacing w:after="120" w:line="300"/>
      </w:pPr>
      <w:r>
        <w:rPr>
          <w:rFonts w:ascii="Calibri" w:cs="Calibri" w:eastAsia="Calibri" w:hAnsi="Calibri"/>
          <w:color w:val="1B1B1B"/>
          <w:sz w:val="22"/>
          <w:szCs w:val="22"/>
        </w:rPr>
        <w:t xml:space="preserve">The regional commercial-layer industry stocking density and management discipline structurally determines productivity realisation. Commercial cage operations typically achieve 90–95% peak lay rate and 280–320 eggs per hen-year; deep-litter operations typically achieve 85–90% peak lay rate and 270–300 eggs per hen-year; free-range operations typically achieve 75–85% peak lay rate and 240–270 eggs per hen-year given structural welfare-and-environmental management trade-offs. Cage-system regulatory frameworks have evolved globally with structural welfare considerations driving emerging cage-free regulatory frameworks in some international markets; regional regulatory frameworks remain principally cage-permissive with emerging cage-free retail-and-export trajectory.</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Battery cage systems (the dominant regional commercial-layer model): </w:t>
      </w:r>
      <w:r>
        <w:rPr>
          <w:rFonts w:ascii="Calibri" w:cs="Calibri" w:eastAsia="Calibri" w:hAnsi="Calibri"/>
          <w:color w:val="1B1B1B"/>
          <w:sz w:val="22"/>
          <w:szCs w:val="22"/>
        </w:rPr>
        <w:t xml:space="preserve">Wire-cage housing typically 4–6 hens per cage; multi-tier cage banks; automated egg collection; controlled feed-and-water systems; structural productivity efficiency; emerging regulatory consideration of welfare-aligned alternatives.</w:t>
      </w:r>
    </w:p>
    <w:p>
      <w:pPr>
        <w:pStyle w:val="ListParagraph"/>
        <w:numPr>
          <w:ilvl w:val="0"/>
          <w:numId w:val="2"/>
        </w:numPr>
        <w:spacing w:after="80" w:line="290"/>
      </w:pPr>
      <w:r>
        <w:rPr>
          <w:rFonts w:ascii="Calibri" w:cs="Calibri" w:eastAsia="Calibri" w:hAnsi="Calibri"/>
          <w:b/>
          <w:bCs/>
          <w:color w:val="1B1B1B"/>
          <w:sz w:val="22"/>
          <w:szCs w:val="22"/>
        </w:rPr>
        <w:t xml:space="preserve">Enriched-cage systems (emerging premium-welfare cage): </w:t>
      </w:r>
      <w:r>
        <w:rPr>
          <w:rFonts w:ascii="Calibri" w:cs="Calibri" w:eastAsia="Calibri" w:hAnsi="Calibri"/>
          <w:color w:val="1B1B1B"/>
          <w:sz w:val="22"/>
          <w:szCs w:val="22"/>
        </w:rPr>
        <w:t xml:space="preserve">Wire-cage housing with structural welfare enhancements (perches, nesting areas, scratching pads); emerging regional commercial-layer deployment; structural alignment with international welfare frameworks.</w:t>
      </w:r>
    </w:p>
    <w:p>
      <w:pPr>
        <w:pStyle w:val="ListParagraph"/>
        <w:numPr>
          <w:ilvl w:val="0"/>
          <w:numId w:val="2"/>
        </w:numPr>
        <w:spacing w:after="80" w:line="290"/>
      </w:pPr>
      <w:r>
        <w:rPr>
          <w:rFonts w:ascii="Calibri" w:cs="Calibri" w:eastAsia="Calibri" w:hAnsi="Calibri"/>
          <w:b/>
          <w:bCs/>
          <w:color w:val="1B1B1B"/>
          <w:sz w:val="22"/>
          <w:szCs w:val="22"/>
        </w:rPr>
        <w:t xml:space="preserve">Deep-litter systems (the regional medium-and-smallholder reference): </w:t>
      </w:r>
      <w:r>
        <w:rPr>
          <w:rFonts w:ascii="Calibri" w:cs="Calibri" w:eastAsia="Calibri" w:hAnsi="Calibri"/>
          <w:color w:val="1B1B1B"/>
          <w:sz w:val="22"/>
          <w:szCs w:val="22"/>
        </w:rPr>
        <w:t xml:space="preserve">Floor-based housing on bedding material (typically wood shavings, rice husks, or coffee husks); structural balance between productivity and welfare; significant regional smallholder-and-medium-commercial deployment.</w:t>
      </w:r>
    </w:p>
    <w:p>
      <w:pPr>
        <w:pStyle w:val="ListParagraph"/>
        <w:numPr>
          <w:ilvl w:val="0"/>
          <w:numId w:val="2"/>
        </w:numPr>
        <w:spacing w:after="80" w:line="290"/>
      </w:pPr>
      <w:r>
        <w:rPr>
          <w:rFonts w:ascii="Calibri" w:cs="Calibri" w:eastAsia="Calibri" w:hAnsi="Calibri"/>
          <w:b/>
          <w:bCs/>
          <w:color w:val="1B1B1B"/>
          <w:sz w:val="22"/>
          <w:szCs w:val="22"/>
        </w:rPr>
        <w:t xml:space="preserve">Free-range systems (emerging premium niche): </w:t>
      </w:r>
      <w:r>
        <w:rPr>
          <w:rFonts w:ascii="Calibri" w:cs="Calibri" w:eastAsia="Calibri" w:hAnsi="Calibri"/>
          <w:color w:val="1B1B1B"/>
          <w:sz w:val="22"/>
          <w:szCs w:val="22"/>
        </w:rPr>
        <w:t xml:space="preserve">Outdoor-access housing with daytime range; emerging regional commercial-layer deployment for premium retail-and-emerging-organic operations; structural premium-pricing trajectory.</w:t>
      </w:r>
    </w:p>
    <w:p>
      <w:pPr>
        <w:pStyle w:val="ListParagraph"/>
        <w:numPr>
          <w:ilvl w:val="0"/>
          <w:numId w:val="2"/>
        </w:numPr>
        <w:spacing w:after="80" w:line="290"/>
      </w:pPr>
      <w:r>
        <w:rPr>
          <w:rFonts w:ascii="Calibri" w:cs="Calibri" w:eastAsia="Calibri" w:hAnsi="Calibri"/>
          <w:b/>
          <w:bCs/>
          <w:color w:val="1B1B1B"/>
          <w:sz w:val="22"/>
          <w:szCs w:val="22"/>
        </w:rPr>
        <w:t xml:space="preserve">Integrated commercial operations (Kenchic and emerging regional): </w:t>
      </w:r>
      <w:r>
        <w:rPr>
          <w:rFonts w:ascii="Calibri" w:cs="Calibri" w:eastAsia="Calibri" w:hAnsi="Calibri"/>
          <w:color w:val="1B1B1B"/>
          <w:sz w:val="22"/>
          <w:szCs w:val="22"/>
        </w:rPr>
        <w:t xml:space="preserve">Multi-stage commercial operations integrating breeding-and-DOC supply, pullet rearing, layer production, egg collection, grading-and-packing, and retail distribution; the regional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Smallholder backyard layer operations (the regional volume by household): </w:t>
      </w:r>
      <w:r>
        <w:rPr>
          <w:rFonts w:ascii="Calibri" w:cs="Calibri" w:eastAsia="Calibri" w:hAnsi="Calibri"/>
          <w:color w:val="1B1B1B"/>
          <w:sz w:val="22"/>
          <w:szCs w:val="22"/>
        </w:rPr>
        <w:t xml:space="preserve">50–500 layer hens typical per household; deep-litter or free-range; structural smallholder economics integration with crop production-and-household income; emerging cooperative aggregator commercial-development reference.</w:t>
      </w:r>
    </w:p>
    <w:p>
      <w:pPr>
        <w:pStyle w:val="ListParagraph"/>
        <w:numPr>
          <w:ilvl w:val="0"/>
          <w:numId w:val="2"/>
        </w:numPr>
        <w:spacing w:after="80" w:line="290"/>
      </w:pPr>
      <w:r>
        <w:rPr>
          <w:rFonts w:ascii="Calibri" w:cs="Calibri" w:eastAsia="Calibri" w:hAnsi="Calibri"/>
          <w:b/>
          <w:bCs/>
          <w:color w:val="1B1B1B"/>
          <w:sz w:val="22"/>
          <w:szCs w:val="22"/>
        </w:rPr>
        <w:t xml:space="preserve">Stocking density (system-dependent): </w:t>
      </w:r>
      <w:r>
        <w:rPr>
          <w:rFonts w:ascii="Calibri" w:cs="Calibri" w:eastAsia="Calibri" w:hAnsi="Calibri"/>
          <w:color w:val="1B1B1B"/>
          <w:sz w:val="22"/>
          <w:szCs w:val="22"/>
        </w:rPr>
        <w:t xml:space="preserve">Cage: 5–7 hens per m² caged; deep-litter: 7–9 hens per m²; free-range: 5–7 hens per m² indoor with 4–10 m² outdoor range per hen typical.</w:t>
      </w:r>
    </w:p>
    <w:p>
      <w:pPr>
        <w:pStyle w:val="ListParagraph"/>
        <w:numPr>
          <w:ilvl w:val="0"/>
          <w:numId w:val="2"/>
        </w:numPr>
        <w:spacing w:after="80" w:line="290"/>
      </w:pPr>
      <w:r>
        <w:rPr>
          <w:rFonts w:ascii="Calibri" w:cs="Calibri" w:eastAsia="Calibri" w:hAnsi="Calibri"/>
          <w:b/>
          <w:bCs/>
          <w:color w:val="1B1B1B"/>
          <w:sz w:val="22"/>
          <w:szCs w:val="22"/>
        </w:rPr>
        <w:t xml:space="preserve">Lighting programmes (the productivity-realisation discipline): </w:t>
      </w:r>
      <w:r>
        <w:rPr>
          <w:rFonts w:ascii="Calibri" w:cs="Calibri" w:eastAsia="Calibri" w:hAnsi="Calibri"/>
          <w:color w:val="1B1B1B"/>
          <w:sz w:val="22"/>
          <w:szCs w:val="22"/>
        </w:rPr>
        <w:t xml:space="preserve">Structural commercial-layer lighting programme discipline (16–17 hours daily light typical for peak lay; gradual increase from pullet-rearing to layer-housing transition); structural automated lighting infrastructure in commercial cage-and-deep-litter operations.</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layer commercial integration: </w:t>
      </w:r>
      <w:r>
        <w:rPr>
          <w:rFonts w:ascii="Calibri" w:cs="Calibri" w:eastAsia="Calibri" w:hAnsi="Calibri"/>
          <w:color w:val="1B1B1B"/>
          <w:sz w:val="22"/>
          <w:szCs w:val="22"/>
        </w:rPr>
        <w:t xml:space="preserve">Emerging cooperative smallholder layer aggregator-and-DOC-and-feed-and-veterinary infrastructure addressing structural smallholder commercial-development gap;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Commercial intensive scale-up across regional: </w:t>
      </w:r>
      <w:r>
        <w:rPr>
          <w:rFonts w:ascii="Calibri" w:cs="Calibri" w:eastAsia="Calibri" w:hAnsi="Calibri"/>
          <w:color w:val="1B1B1B"/>
          <w:sz w:val="22"/>
          <w:szCs w:val="22"/>
        </w:rPr>
        <w:t xml:space="preserve">Emerging commercial intensive layer operations in Tanzania (Northern, Coast), Uganda (Central, Western), Rwanda (Eastern Province), Burundi (limited current scale) providing emerging regional commercial-development reference paralleling Kenchic Kenya.</w:t>
      </w:r>
    </w:p>
    <w:p>
      <w:pPr>
        <w:pStyle w:val="ListParagraph"/>
        <w:numPr>
          <w:ilvl w:val="0"/>
          <w:numId w:val="2"/>
        </w:numPr>
        <w:spacing w:after="80" w:line="290"/>
      </w:pPr>
      <w:r>
        <w:rPr>
          <w:rFonts w:ascii="Calibri" w:cs="Calibri" w:eastAsia="Calibri" w:hAnsi="Calibri"/>
          <w:b/>
          <w:bCs/>
          <w:color w:val="1B1B1B"/>
          <w:sz w:val="22"/>
          <w:szCs w:val="22"/>
        </w:rPr>
        <w:t xml:space="preserve">Free-range and pasture-raised premium expansion: </w:t>
      </w:r>
      <w:r>
        <w:rPr>
          <w:rFonts w:ascii="Calibri" w:cs="Calibri" w:eastAsia="Calibri" w:hAnsi="Calibri"/>
          <w:color w:val="1B1B1B"/>
          <w:sz w:val="22"/>
          <w:szCs w:val="22"/>
        </w:rPr>
        <w:t xml:space="preserve">Emerging premium retail free-range and pasture-raised commercial layer operations; structural niche premium-trajectory through urban supermarket-and-restaurant supply.</w:t>
      </w:r>
    </w:p>
    <w:p>
      <w:pPr>
        <w:pStyle w:val="ListParagraph"/>
        <w:numPr>
          <w:ilvl w:val="0"/>
          <w:numId w:val="2"/>
        </w:numPr>
        <w:spacing w:after="80" w:line="290"/>
      </w:pPr>
      <w:r>
        <w:rPr>
          <w:rFonts w:ascii="Calibri" w:cs="Calibri" w:eastAsia="Calibri" w:hAnsi="Calibri"/>
          <w:b/>
          <w:bCs/>
          <w:color w:val="1B1B1B"/>
          <w:sz w:val="22"/>
          <w:szCs w:val="22"/>
        </w:rPr>
        <w:t xml:space="preserve">Enriched-cage and welfare-aligned commercial expansion: </w:t>
      </w:r>
      <w:r>
        <w:rPr>
          <w:rFonts w:ascii="Calibri" w:cs="Calibri" w:eastAsia="Calibri" w:hAnsi="Calibri"/>
          <w:color w:val="1B1B1B"/>
          <w:sz w:val="22"/>
          <w:szCs w:val="22"/>
        </w:rPr>
        <w:t xml:space="preserve">Emerging enriched-cage commercial layer operations aligned with international welfare frameworks; structural regulatory-anticipation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Climate-smart layer systems: </w:t>
      </w:r>
      <w:r>
        <w:rPr>
          <w:rFonts w:ascii="Calibri" w:cs="Calibri" w:eastAsia="Calibri" w:hAnsi="Calibri"/>
          <w:color w:val="1B1B1B"/>
          <w:sz w:val="22"/>
          <w:szCs w:val="22"/>
        </w:rPr>
        <w:t xml:space="preserve">Solar-powered ventilation, lighting, and cooling infrastructure; emerging cooperative water-and-feed infrastructure; structural climate-resilience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organic-certified commercial layer operations; emerging single-origin specialty layer brands; emerging niche specialty (e.g., omega-3-enriched eggs, free-range, pasture-raised premium retail differentiation).</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Animal welfare: regional regulatory frameworks emerging; OIE-aligned welfare standards; emerging cage-free and enriched-cage international framework alignment.</w:t>
      </w:r>
    </w:p>
    <w:p>
      <w:pPr>
        <w:pStyle w:val="ListParagraph"/>
        <w:numPr>
          <w:ilvl w:val="0"/>
          <w:numId w:val="2"/>
        </w:numPr>
        <w:spacing w:after="80" w:line="290"/>
      </w:pPr>
      <w:r>
        <w:rPr>
          <w:rFonts w:ascii="Calibri" w:cs="Calibri" w:eastAsia="Calibri" w:hAnsi="Calibri"/>
          <w:color w:val="1B1B1B"/>
          <w:sz w:val="22"/>
          <w:szCs w:val="22"/>
        </w:rPr>
        <w:t xml:space="preserve">Stocking density standards: typically 5–7 hens per m² caged; 7–9 hens per m² deep-litter; 5–7 hens per m² indoor plus 4–10 m² outdoor range for free-range.</w:t>
      </w:r>
    </w:p>
    <w:p>
      <w:pPr>
        <w:pStyle w:val="ListParagraph"/>
        <w:numPr>
          <w:ilvl w:val="0"/>
          <w:numId w:val="2"/>
        </w:numPr>
        <w:spacing w:after="80" w:line="290"/>
      </w:pPr>
      <w:r>
        <w:rPr>
          <w:rFonts w:ascii="Calibri" w:cs="Calibri" w:eastAsia="Calibri" w:hAnsi="Calibri"/>
          <w:color w:val="1B1B1B"/>
          <w:sz w:val="22"/>
          <w:szCs w:val="22"/>
        </w:rPr>
        <w:t xml:space="preserve">Lighting programmes: structural 16–17 hours daily light for peak commercial-layer productivity.</w:t>
      </w:r>
    </w:p>
    <w:p>
      <w:pPr>
        <w:pStyle w:val="ListParagraph"/>
        <w:numPr>
          <w:ilvl w:val="0"/>
          <w:numId w:val="2"/>
        </w:numPr>
        <w:spacing w:after="80" w:line="290"/>
      </w:pPr>
      <w:r>
        <w:rPr>
          <w:rFonts w:ascii="Calibri" w:cs="Calibri" w:eastAsia="Calibri" w:hAnsi="Calibri"/>
          <w:color w:val="1B1B1B"/>
          <w:sz w:val="22"/>
          <w:szCs w:val="22"/>
        </w:rPr>
        <w:t xml:space="preserve">Manure management: emerging environmental compliance frameworks; biogas-and-composting integration as best-practice reference.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where applicable; emerging layer-specific certification frameworks; organic certification for premium operations; emerging free-range and cage-free certification.</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Extension and training: Directorate of Veterinary Services (DVS); Department of Livestock Production; KALRO Naivasha; Egerton University; County government livestock extension. Reference operations: Kenchic-affiliated commercial operations; private commercial layer operations across Mt Kenya, Western Kenya, Rift Valley, Coast.</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Extension and training: Ministry of Livestock and Fisheries; TARI Tengeru-and-Selian livestock divisions; Sokoine University of Agriculture. Reference operations: emerging commercial layer operations; AGCOT-cluster-affiliated emerging poultry operations.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Extension and training: MAAIF; NaLIRRI; Makerere University. Reference operations: significant commercial layer operations across Central, Western, Eastern Uganda; Ugachick-affiliated and Biyinzika-affiliated networks.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Extension and training: MINAGRI; RAB; University of Rwanda CAVM. Reference operations: emerging commercial layer operations across Eastern Province and Kigali peri-urban zones.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Extension and training: Ministry of Environment, Agriculture and Livestock; ISABU. Reference operations: emerging cooperative-and-commercial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Layer production system choice determines layer industry operational profile across the regional industry. Cage systems and deep-litter systems anchor regional commercial-layer volume; integrated commercial operations (Kenchic and emerging regional) anchor commercial-development reference; smallholder backyard operations anchor regional volume by household count.</w:t>
      </w:r>
    </w:p>
    <w:p>
      <w:pPr>
        <w:spacing w:after="120" w:line="300"/>
      </w:pPr>
      <w:r>
        <w:rPr>
          <w:rFonts w:ascii="Calibri" w:cs="Calibri" w:eastAsia="Calibri" w:hAnsi="Calibri"/>
          <w:color w:val="1B1B1B"/>
          <w:sz w:val="22"/>
          <w:szCs w:val="22"/>
        </w:rPr>
        <w:t xml:space="preserve">For smallholder producers, the actionable rule is biosecurity-aligned deep-litter housing-and-management with structured cooperative-aggregator linkages. For commercial operators, integrated production-and-aggregation operations matched to operational scale with structural cage-or-deep-litter management discipline. For impact investors, scaling cooperative smallholder layer commercial integration and emerging premium free-range commercial operations represents regional layer commercial-development opportunities.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03</w:t>
            </w:r>
          </w:p>
          <w:p>
            <w:pPr>
              <w:spacing w:after="40"/>
            </w:pPr>
            <w:r>
              <w:rPr>
                <w:rFonts w:ascii="Calibri" w:cs="Calibri" w:eastAsia="Calibri" w:hAnsi="Calibri"/>
                <w:b/>
                <w:bCs/>
                <w:color w:val="FFFFFF"/>
                <w:sz w:val="36"/>
                <w:szCs w:val="36"/>
              </w:rPr>
              <w:t xml:space="preserve">Feed &amp; Nutrition</w:t>
            </w:r>
          </w:p>
          <w:p>
            <w:r>
              <w:rPr>
                <w:rFonts w:ascii="Calibri" w:cs="Calibri" w:eastAsia="Calibri" w:hAnsi="Calibri"/>
                <w:i/>
                <w:iCs/>
                <w:color w:val="FFFFFF"/>
                <w:sz w:val="20"/>
                <w:szCs w:val="20"/>
              </w:rPr>
              <w:t xml:space="preserve">Monogastric  •  Concentrate  •  Layer ration</w:t>
            </w:r>
            <w:r>
              <w:rPr>
                <w:rFonts w:ascii="Calibri" w:cs="Calibri" w:eastAsia="Calibri" w:hAnsi="Calibri"/>
                <w:color w:val="FFFFFF"/>
                <w:sz w:val="20"/>
                <w:szCs w:val="20"/>
              </w:rPr>
              <w:t xml:space="preserve">   •   Chakula cha kuku wa mayai (Sw)  •  The high-feed-cost vector</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FEED TYPES</w:t>
            </w:r>
          </w:p>
          <w:p>
            <w:r>
              <w:rPr>
                <w:rFonts w:ascii="Calibri" w:cs="Calibri" w:eastAsia="Calibri" w:hAnsi="Calibri"/>
                <w:color w:val="1B1B1B"/>
                <w:sz w:val="20"/>
                <w:szCs w:val="20"/>
              </w:rPr>
              <w:t xml:space="preserve">Commercial layer mash; pellet; smallholder mixed; specialty premium</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FEED-CONVERSION RATIO</w:t>
            </w:r>
          </w:p>
          <w:p>
            <w:r>
              <w:rPr>
                <w:rFonts w:ascii="Calibri" w:cs="Calibri" w:eastAsia="Calibri" w:hAnsi="Calibri"/>
                <w:color w:val="1B1B1B"/>
                <w:sz w:val="20"/>
                <w:szCs w:val="20"/>
              </w:rPr>
              <w:t xml:space="preserve">Commercial layer 2.0–2.3 kg feed per kg eggs; smallholder 2.5–3.5 kg per kg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LAYER RATION PROTEIN</w:t>
            </w:r>
          </w:p>
          <w:p>
            <w:r>
              <w:rPr>
                <w:rFonts w:ascii="Calibri" w:cs="Calibri" w:eastAsia="Calibri" w:hAnsi="Calibri"/>
                <w:color w:val="1B1B1B"/>
                <w:sz w:val="20"/>
                <w:szCs w:val="20"/>
              </w:rPr>
              <w:t xml:space="preserve">Layer mash 16–18% crude protein; pre-lay 14–16%; growing pullet 18–20%</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Feed cost typically 65–75% of regional commercial layer production economics</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Layer feed-and-nutrition is the productivity-realisation vector with structurally distinctive characteristics paralleling pigs (monogastric, high-feed-cost): commercial layer feed costs typically 65–75% of regional commercial layer production economics, with structural feed-quality-and-formulation discipline determining productivity realisation. Four principal regional commercial-layer feed categories shape commercial picture: commercial layer mash (the dominant commercial-layer feed input from major regional feed manufacturers); pellet feed (less common regionally; emerging premium commercial deployment); smallholder mixed-feed (kitchen waste, household-prepared rations, structurally lower productivity); and specialty premium feed (organic, omega-3-enriched, premium pasture-raised supplementation).</w:t>
      </w:r>
    </w:p>
    <w:p>
      <w:pPr>
        <w:spacing w:after="120" w:line="300"/>
      </w:pPr>
      <w:r>
        <w:rPr>
          <w:rFonts w:ascii="Calibri" w:cs="Calibri" w:eastAsia="Calibri" w:hAnsi="Calibri"/>
          <w:color w:val="1B1B1B"/>
          <w:sz w:val="22"/>
          <w:szCs w:val="22"/>
        </w:rPr>
        <w:t xml:space="preserve">Layer-specific feed formulations are structurally critical. Growing pullet feed (0–16 weeks, 18–20% crude protein) supports structural body weight-and-frame development; pre-lay feed (16–18 weeks, 14–16% protein with elevated calcium for shell-formation preparation); layer mash (18–80 weeks, 16–18% protein with structural calcium 3.5–4.5% for shell formation, balanced amino-acid profile, balanced vitamin-and-mineral supplementation). Mismatched feeding (e.g., layer mash fed to growing pullets, or growing-pullet feed fed to laying hens) drives structural productivity loss across regional commercial-and-smallholder operations.</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Commercial layer mash (the dominant commercial-layer feed input): </w:t>
      </w:r>
      <w:r>
        <w:rPr>
          <w:rFonts w:ascii="Calibri" w:cs="Calibri" w:eastAsia="Calibri" w:hAnsi="Calibri"/>
          <w:color w:val="1B1B1B"/>
          <w:sz w:val="22"/>
          <w:szCs w:val="22"/>
        </w:rPr>
        <w:t xml:space="preserve">Manufactured layer-specific formulations; major regional operators: Unga Feeds Kenya; Sigma Feeds; Bidco Animal Feeds; Pembe Feeds Tanzania; Mukwano Animal Feeds Uganda; Ugachick Feeds; Kenchic-integrated feed operations; emerging Tanzanian, Rwandan, Burundian operators.</w:t>
      </w:r>
    </w:p>
    <w:p>
      <w:pPr>
        <w:pStyle w:val="ListParagraph"/>
        <w:numPr>
          <w:ilvl w:val="0"/>
          <w:numId w:val="2"/>
        </w:numPr>
        <w:spacing w:after="80" w:line="290"/>
      </w:pPr>
      <w:r>
        <w:rPr>
          <w:rFonts w:ascii="Calibri" w:cs="Calibri" w:eastAsia="Calibri" w:hAnsi="Calibri"/>
          <w:b/>
          <w:bCs/>
          <w:color w:val="1B1B1B"/>
          <w:sz w:val="22"/>
          <w:szCs w:val="22"/>
        </w:rPr>
        <w:t xml:space="preserve">Pre-lay and growing pullet feed (the structural pre-production feed inputs): </w:t>
      </w:r>
      <w:r>
        <w:rPr>
          <w:rFonts w:ascii="Calibri" w:cs="Calibri" w:eastAsia="Calibri" w:hAnsi="Calibri"/>
          <w:color w:val="1B1B1B"/>
          <w:sz w:val="22"/>
          <w:szCs w:val="22"/>
        </w:rPr>
        <w:t xml:space="preserve">Growing pullet (0–16 weeks, 18–20% crude protein); pre-lay (16–18 weeks, 14–16% protein, elevated calcium); structural commercial-grade pullet rearing-and-transition feed inputs.</w:t>
      </w:r>
    </w:p>
    <w:p>
      <w:pPr>
        <w:pStyle w:val="ListParagraph"/>
        <w:numPr>
          <w:ilvl w:val="0"/>
          <w:numId w:val="2"/>
        </w:numPr>
        <w:spacing w:after="80" w:line="290"/>
      </w:pPr>
      <w:r>
        <w:rPr>
          <w:rFonts w:ascii="Calibri" w:cs="Calibri" w:eastAsia="Calibri" w:hAnsi="Calibri"/>
          <w:b/>
          <w:bCs/>
          <w:color w:val="1B1B1B"/>
          <w:sz w:val="22"/>
          <w:szCs w:val="22"/>
        </w:rPr>
        <w:t xml:space="preserve">Smallholder mixed-feed (the smallholder volume model): </w:t>
      </w:r>
      <w:r>
        <w:rPr>
          <w:rFonts w:ascii="Calibri" w:cs="Calibri" w:eastAsia="Calibri" w:hAnsi="Calibri"/>
          <w:color w:val="1B1B1B"/>
          <w:sz w:val="22"/>
          <w:szCs w:val="22"/>
        </w:rPr>
        <w:t xml:space="preserve">Kitchen waste, crop residues, household-prepared rations integrating maize, sorghum, sweet-potato, cassava-leaves, fish-meal-and-blood-meal proportions; structurally lower productivity (60–80% of commercial-layer lay rate); structural cost-efficiency for smallholder economics.</w:t>
      </w:r>
    </w:p>
    <w:p>
      <w:pPr>
        <w:pStyle w:val="ListParagraph"/>
        <w:numPr>
          <w:ilvl w:val="0"/>
          <w:numId w:val="2"/>
        </w:numPr>
        <w:spacing w:after="80" w:line="290"/>
      </w:pPr>
      <w:r>
        <w:rPr>
          <w:rFonts w:ascii="Calibri" w:cs="Calibri" w:eastAsia="Calibri" w:hAnsi="Calibri"/>
          <w:b/>
          <w:bCs/>
          <w:color w:val="1B1B1B"/>
          <w:sz w:val="22"/>
          <w:szCs w:val="22"/>
        </w:rPr>
        <w:t xml:space="preserve">Maize-and-soybean-meal feed-input value chain: </w:t>
      </w:r>
      <w:r>
        <w:rPr>
          <w:rFonts w:ascii="Calibri" w:cs="Calibri" w:eastAsia="Calibri" w:hAnsi="Calibri"/>
          <w:color w:val="1B1B1B"/>
          <w:sz w:val="22"/>
          <w:szCs w:val="22"/>
        </w:rPr>
        <w:t xml:space="preserve">Maize and soybean meal are the structural commercial-layer feed inputs (cross-reference Post-Harvest Series 1 Issues 1 and 2 for upstream cereal-and-legume value chain); structural feed-input-cost concern through regional grain-and-pulse import dependence.</w:t>
      </w:r>
    </w:p>
    <w:p>
      <w:pPr>
        <w:pStyle w:val="ListParagraph"/>
        <w:numPr>
          <w:ilvl w:val="0"/>
          <w:numId w:val="2"/>
        </w:numPr>
        <w:spacing w:after="80" w:line="290"/>
      </w:pPr>
      <w:r>
        <w:rPr>
          <w:rFonts w:ascii="Calibri" w:cs="Calibri" w:eastAsia="Calibri" w:hAnsi="Calibri"/>
          <w:b/>
          <w:bCs/>
          <w:color w:val="1B1B1B"/>
          <w:sz w:val="22"/>
          <w:szCs w:val="22"/>
        </w:rPr>
        <w:t xml:space="preserve">Fish meal and emerging alternative protein: </w:t>
      </w:r>
      <w:r>
        <w:rPr>
          <w:rFonts w:ascii="Calibri" w:cs="Calibri" w:eastAsia="Calibri" w:hAnsi="Calibri"/>
          <w:color w:val="1B1B1B"/>
          <w:sz w:val="22"/>
          <w:szCs w:val="22"/>
        </w:rPr>
        <w:t xml:space="preserve">Fish meal as structural high-quality protein input for layer feed (cross-reference Issues 8–11 of this Series for fisheries-and-aquaculture coverage); emerging insect-protein (black soldier fly Hermetia illucens) and single-cell-protein commercial pilots as alternative protein input.</w:t>
      </w:r>
    </w:p>
    <w:p>
      <w:pPr>
        <w:pStyle w:val="ListParagraph"/>
        <w:numPr>
          <w:ilvl w:val="0"/>
          <w:numId w:val="2"/>
        </w:numPr>
        <w:spacing w:after="80" w:line="290"/>
      </w:pPr>
      <w:r>
        <w:rPr>
          <w:rFonts w:ascii="Calibri" w:cs="Calibri" w:eastAsia="Calibri" w:hAnsi="Calibri"/>
          <w:b/>
          <w:bCs/>
          <w:color w:val="1B1B1B"/>
          <w:sz w:val="22"/>
          <w:szCs w:val="22"/>
        </w:rPr>
        <w:t xml:space="preserve">Calcium-and-mineral supplementation (structural shell-formation discipline): </w:t>
      </w:r>
      <w:r>
        <w:rPr>
          <w:rFonts w:ascii="Calibri" w:cs="Calibri" w:eastAsia="Calibri" w:hAnsi="Calibri"/>
          <w:color w:val="1B1B1B"/>
          <w:sz w:val="22"/>
          <w:szCs w:val="22"/>
        </w:rPr>
        <w:t xml:space="preserve">Calcium carbonate (limestone), oyster shell grit, mineral premix; structural commercial-grade layer nutrition input addressing calcium 3.5–4.5% layer mash requirement; emerging commercial deployment of split-particle-size calcium for slow-release-and-rapid-release shell-formation discipline.</w:t>
      </w:r>
    </w:p>
    <w:p>
      <w:pPr>
        <w:pStyle w:val="ListParagraph"/>
        <w:numPr>
          <w:ilvl w:val="0"/>
          <w:numId w:val="2"/>
        </w:numPr>
        <w:spacing w:after="80" w:line="290"/>
      </w:pPr>
      <w:r>
        <w:rPr>
          <w:rFonts w:ascii="Calibri" w:cs="Calibri" w:eastAsia="Calibri" w:hAnsi="Calibri"/>
          <w:b/>
          <w:bCs/>
          <w:color w:val="1B1B1B"/>
          <w:sz w:val="22"/>
          <w:szCs w:val="22"/>
        </w:rPr>
        <w:t xml:space="preserve">Methionine and lysine amino-acid supplementation: </w:t>
      </w:r>
      <w:r>
        <w:rPr>
          <w:rFonts w:ascii="Calibri" w:cs="Calibri" w:eastAsia="Calibri" w:hAnsi="Calibri"/>
          <w:color w:val="1B1B1B"/>
          <w:sz w:val="22"/>
          <w:szCs w:val="22"/>
        </w:rPr>
        <w:t xml:space="preserve">Synthetic methionine and lysine supplementation balancing maize-soybean-meal layer ration amino-acid profile; structural commercial-grade layer feed input.</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Commercial layer mash scale-up across regional: </w:t>
      </w:r>
      <w:r>
        <w:rPr>
          <w:rFonts w:ascii="Calibri" w:cs="Calibri" w:eastAsia="Calibri" w:hAnsi="Calibri"/>
          <w:color w:val="1B1B1B"/>
          <w:sz w:val="22"/>
          <w:szCs w:val="22"/>
        </w:rPr>
        <w:t xml:space="preserve">Emerging Tanzanian, Ugandan, Rwandan, Burundian commercial layer-mash manufacturing operations alongside Kenyan-anchored regional reference;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feed-input infrastructure: </w:t>
      </w:r>
      <w:r>
        <w:rPr>
          <w:rFonts w:ascii="Calibri" w:cs="Calibri" w:eastAsia="Calibri" w:hAnsi="Calibri"/>
          <w:color w:val="1B1B1B"/>
          <w:sz w:val="22"/>
          <w:szCs w:val="22"/>
        </w:rPr>
        <w:t xml:space="preserve">Cooperative aggregation of layer-mash supply for smallholder layer operations; structural commercial-development trajectory addressing smallholder feed-cost-and-quality challenge.</w:t>
      </w:r>
    </w:p>
    <w:p>
      <w:pPr>
        <w:pStyle w:val="ListParagraph"/>
        <w:numPr>
          <w:ilvl w:val="0"/>
          <w:numId w:val="2"/>
        </w:numPr>
        <w:spacing w:after="80" w:line="290"/>
      </w:pPr>
      <w:r>
        <w:rPr>
          <w:rFonts w:ascii="Calibri" w:cs="Calibri" w:eastAsia="Calibri" w:hAnsi="Calibri"/>
          <w:b/>
          <w:bCs/>
          <w:color w:val="1B1B1B"/>
          <w:sz w:val="22"/>
          <w:szCs w:val="22"/>
        </w:rPr>
        <w:t xml:space="preserve">Alternative-protein commercial pilots: </w:t>
      </w:r>
      <w:r>
        <w:rPr>
          <w:rFonts w:ascii="Calibri" w:cs="Calibri" w:eastAsia="Calibri" w:hAnsi="Calibri"/>
          <w:color w:val="1B1B1B"/>
          <w:sz w:val="22"/>
          <w:szCs w:val="22"/>
        </w:rPr>
        <w:t xml:space="preserve">Insect-protein (black soldier fly Hermetia illucens) and single-cell-protein commercial pilot operations for layer-and-broiler feed integration; emerging regional commercial-development trajectory; significant climate-and-circular-economy alignment potential.</w:t>
      </w:r>
    </w:p>
    <w:p>
      <w:pPr>
        <w:pStyle w:val="ListParagraph"/>
        <w:numPr>
          <w:ilvl w:val="0"/>
          <w:numId w:val="2"/>
        </w:numPr>
        <w:spacing w:after="80" w:line="290"/>
      </w:pPr>
      <w:r>
        <w:rPr>
          <w:rFonts w:ascii="Calibri" w:cs="Calibri" w:eastAsia="Calibri" w:hAnsi="Calibri"/>
          <w:b/>
          <w:bCs/>
          <w:color w:val="1B1B1B"/>
          <w:sz w:val="22"/>
          <w:szCs w:val="22"/>
        </w:rPr>
        <w:t xml:space="preserve">Pellet feed commercial expansion: </w:t>
      </w:r>
      <w:r>
        <w:rPr>
          <w:rFonts w:ascii="Calibri" w:cs="Calibri" w:eastAsia="Calibri" w:hAnsi="Calibri"/>
          <w:color w:val="1B1B1B"/>
          <w:sz w:val="22"/>
          <w:szCs w:val="22"/>
        </w:rPr>
        <w:t xml:space="preserve">Pellet-form layer feed commercial expansion; emerging regional commercial deployment; structural feed-quality-and-conversion-efficiency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organic-and-non-GMO layer feed operations; emerging omega-3-enriched layer feed (flaxseed-and-fish-oil supplementation for omega-3-enriched egg commercial production); emerging single-origin specialty layer feed brands.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Layer mash formulation: layer-specific 16–18% crude protein; structural calcium 3.5–4.5%; balanced amino-acid profile (lysine, methionine essential).</w:t>
      </w:r>
    </w:p>
    <w:p>
      <w:pPr>
        <w:pStyle w:val="ListParagraph"/>
        <w:numPr>
          <w:ilvl w:val="0"/>
          <w:numId w:val="2"/>
        </w:numPr>
        <w:spacing w:after="80" w:line="290"/>
      </w:pPr>
      <w:r>
        <w:rPr>
          <w:rFonts w:ascii="Calibri" w:cs="Calibri" w:eastAsia="Calibri" w:hAnsi="Calibri"/>
          <w:color w:val="1B1B1B"/>
          <w:sz w:val="22"/>
          <w:szCs w:val="22"/>
        </w:rPr>
        <w:t xml:space="preserve">Aflatoxin contamination: maximum 5–10 ppb aflatoxin total in layer feed (structurally significant given layer hen sensitivity to aflatoxin and direct egg-residue concern; cross-reference Post-Harvest Issues 1 and 2 for upstream coverage).</w:t>
      </w:r>
    </w:p>
    <w:p>
      <w:pPr>
        <w:pStyle w:val="ListParagraph"/>
        <w:numPr>
          <w:ilvl w:val="0"/>
          <w:numId w:val="2"/>
        </w:numPr>
        <w:spacing w:after="80" w:line="290"/>
      </w:pPr>
      <w:r>
        <w:rPr>
          <w:rFonts w:ascii="Calibri" w:cs="Calibri" w:eastAsia="Calibri" w:hAnsi="Calibri"/>
          <w:color w:val="1B1B1B"/>
          <w:sz w:val="22"/>
          <w:szCs w:val="22"/>
        </w:rPr>
        <w:t xml:space="preserve">Feed-additive regulations: regional regulatory frameworks for ionophore and antibiotic feed-additive use; emerging structural antimicrobial-resistance frameworks.</w:t>
      </w:r>
    </w:p>
    <w:p>
      <w:pPr>
        <w:pStyle w:val="ListParagraph"/>
        <w:numPr>
          <w:ilvl w:val="0"/>
          <w:numId w:val="2"/>
        </w:numPr>
        <w:spacing w:after="80" w:line="290"/>
      </w:pPr>
      <w:r>
        <w:rPr>
          <w:rFonts w:ascii="Calibri" w:cs="Calibri" w:eastAsia="Calibri" w:hAnsi="Calibri"/>
          <w:color w:val="1B1B1B"/>
          <w:sz w:val="22"/>
          <w:szCs w:val="22"/>
        </w:rPr>
        <w:t xml:space="preserve">Mineral supplementation: layer-specific mineral and vitamin formulations addressing regional nutritional requirements.</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for premium layer feed operations; organic certification for premium specialty feed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Feed manufacturers: Unga Feeds (the regional commercial layer-feed reference); Sigma Feeds; Bidco Animal Feeds; Sameer Agriculture; Kenchic-integrated feed operations; emerging private operators. Cassava-and-sweet-potato extension: KALRO Kabete-and-Embu.</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Feed manufacturers: Pembe Feeds; Bakhresa Animal Feeds; emerging Tanzanian operators; AGCOT-cluster-affiliated layer-feed operations; Interchick-integrated emerging feed operations.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Feed manufacturers: Mukwano Animal Feeds; Ugachick Feeds (integrated with Ugachick Poultry Breeders); Biyinzika-integrated feed operations; emerging private operators.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Feed manufacturers: emerging Rwandan operators; emerging cooperative feed operations.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Feed manufacturers: emerging cooperative operators.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Layer feed-and-nutrition is the productivity-realisation vector with structurally distinctive monogastric high-feed-cost characteristics. Commercial layer mash provides commercial-grade layer industry feed-input baseline; smallholder mixed-feed provides structural smallholder regional model with structurally lower productivity profile.</w:t>
      </w:r>
    </w:p>
    <w:p>
      <w:pPr>
        <w:spacing w:after="120" w:line="300"/>
      </w:pPr>
      <w:r>
        <w:rPr>
          <w:rFonts w:ascii="Calibri" w:cs="Calibri" w:eastAsia="Calibri" w:hAnsi="Calibri"/>
          <w:color w:val="1B1B1B"/>
          <w:sz w:val="22"/>
          <w:szCs w:val="22"/>
        </w:rPr>
        <w:t xml:space="preserve">For commercial layer operators, the actionable rule is structured commercial layer-mash procurement with appropriate production-stage formulation matching (growing pullet, pre-lay, layer mash). For smallholder layer producers, structured cooperative-aggregator-affiliated feed supply with emerging cooperative bulk-purchasing economic-efficiency. For impact investors, scaling commercial layer-mash operations alongside emerging alternative-protein commercial pilots represents the regional layer feed-and-nutrition commercial-development trajectory.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04</w:t>
            </w:r>
          </w:p>
          <w:p>
            <w:pPr>
              <w:spacing w:after="40"/>
            </w:pPr>
            <w:r>
              <w:rPr>
                <w:rFonts w:ascii="Calibri" w:cs="Calibri" w:eastAsia="Calibri" w:hAnsi="Calibri"/>
                <w:b/>
                <w:bCs/>
                <w:color w:val="FFFFFF"/>
                <w:sz w:val="36"/>
                <w:szCs w:val="36"/>
              </w:rPr>
              <w:t xml:space="preserve">Veterinary Services &amp; Animal Health</w:t>
            </w:r>
          </w:p>
          <w:p>
            <w:r>
              <w:rPr>
                <w:rFonts w:ascii="Calibri" w:cs="Calibri" w:eastAsia="Calibri" w:hAnsi="Calibri"/>
                <w:i/>
                <w:iCs/>
                <w:color w:val="FFFFFF"/>
                <w:sz w:val="20"/>
                <w:szCs w:val="20"/>
              </w:rPr>
              <w:t xml:space="preserve">Disease management  •  Newcastle  •  Avian Influenza  •  IB</w:t>
            </w:r>
            <w:r>
              <w:rPr>
                <w:rFonts w:ascii="Calibri" w:cs="Calibri" w:eastAsia="Calibri" w:hAnsi="Calibri"/>
                <w:color w:val="FFFFFF"/>
                <w:sz w:val="20"/>
                <w:szCs w:val="20"/>
              </w:rPr>
              <w:t xml:space="preserve">   •   Huduma za daktari wa mifugo (Sw)  •  Newcastle-and-AI biosecurity discipline</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MAJOR DISEASE THREATS</w:t>
            </w:r>
          </w:p>
          <w:p>
            <w:r>
              <w:rPr>
                <w:rFonts w:ascii="Calibri" w:cs="Calibri" w:eastAsia="Calibri" w:hAnsi="Calibri"/>
                <w:color w:val="1B1B1B"/>
                <w:sz w:val="20"/>
                <w:szCs w:val="20"/>
              </w:rPr>
              <w:t xml:space="preserve">Newcastle Disease (NDV); Avian Influenza (HPAI); Infectious Bronchitis (IB); IBD; Marek’s; coccidiosis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VACCINATION CALENDAR</w:t>
            </w:r>
          </w:p>
          <w:p>
            <w:r>
              <w:rPr>
                <w:rFonts w:ascii="Calibri" w:cs="Calibri" w:eastAsia="Calibri" w:hAnsi="Calibri"/>
                <w:color w:val="1B1B1B"/>
                <w:sz w:val="20"/>
                <w:szCs w:val="20"/>
              </w:rPr>
              <w:t xml:space="preserve">Hatchery-stage Marek’s, IBD, NDV, IB; field-stage NDV-and-IB boosters; deworming periodic</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VETERINARY ACCESS</w:t>
            </w:r>
          </w:p>
          <w:p>
            <w:r>
              <w:rPr>
                <w:rFonts w:ascii="Calibri" w:cs="Calibri" w:eastAsia="Calibri" w:hAnsi="Calibri"/>
                <w:color w:val="1B1B1B"/>
                <w:sz w:val="20"/>
                <w:szCs w:val="20"/>
              </w:rPr>
              <w:t xml:space="preserve">Government DVS + private veterinary + Kenchic-and-equivalent integrated services + cooperative para-vet</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Newcastle Disease vaccination is the structural smallholder-and-commercial productivity-protection vector</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Layer veterinary services and animal health are structurally critical given the high-density commercial-layer production environment. Six disease categories anchor regional layer disease pressure: Newcastle Disease (NDV — the structural regional flagship poultry disease with structural mortality 30–80%+ in unprotected flocks, requiring structural vaccination discipline through Lasota-and-equivalent strain vaccines); Avian Influenza (Highly Pathogenic Avian Influenza, HPAI — emerging regional concern with structural global-trade-restricting characteristics paralleling FMD for cattle); Infectious Bronchitis (IB — structural respiratory-and-reproductive concern affecting commercial layer productivity); Infectious Bursal Disease (IBD/Gumboro — structural immunosuppressive disease addressed at hatchery-stage vaccination); Marek’s Disease (structural lymphoid tumour disease addressed at hatchery-stage vaccination); and coccidiosis (Eimeria species — structural intestinal protozoal concern in deep-litter and floor-based operations).</w:t>
      </w:r>
    </w:p>
    <w:p>
      <w:pPr>
        <w:spacing w:after="120" w:line="300"/>
      </w:pPr>
      <w:r>
        <w:rPr>
          <w:rFonts w:ascii="Calibri" w:cs="Calibri" w:eastAsia="Calibri" w:hAnsi="Calibri"/>
          <w:color w:val="1B1B1B"/>
          <w:sz w:val="22"/>
          <w:szCs w:val="22"/>
        </w:rPr>
        <w:t xml:space="preserve">Newcastle Disease vaccination discipline is the structural foundational productivity-protection vector across smallholder-and-commercial operations. The disease has caused structural smallholder flock-and-economic devastation across regional history; structural cooperative-and-extension-supported smallholder Newcastle vaccination programmes (i2-strain, Lasota-strain, oral-and-injectable-and-eye-drop applications) address smallholder vaccination access challenge. Avian Influenza outbreak risk is the structural global-trade-restricting concern — regional poultry export trajectory is structurally limited by Avian Influenza status, paralleling FMD-and-ASF regulatory constraints documented for cattle and pigs in earlier Issues.</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Newcastle Disease / NDV (the structural regional flagship poultry disease): </w:t>
      </w:r>
      <w:r>
        <w:rPr>
          <w:rFonts w:ascii="Calibri" w:cs="Calibri" w:eastAsia="Calibri" w:hAnsi="Calibri"/>
          <w:color w:val="1B1B1B"/>
          <w:sz w:val="22"/>
          <w:szCs w:val="22"/>
        </w:rPr>
        <w:t xml:space="preserve">Caused by Avian Paramyxovirus type 1; structural mortality 30–80%+ in unprotected flocks; transmission through respiratory-and-faecal routes; structural vaccination discipline through Lasota, i2, B1, and equivalent strain vaccines; cooperative-and-extension-supported smallholder vaccination programmes.</w:t>
      </w:r>
    </w:p>
    <w:p>
      <w:pPr>
        <w:pStyle w:val="ListParagraph"/>
        <w:numPr>
          <w:ilvl w:val="0"/>
          <w:numId w:val="2"/>
        </w:numPr>
        <w:spacing w:after="80" w:line="290"/>
      </w:pPr>
      <w:r>
        <w:rPr>
          <w:rFonts w:ascii="Calibri" w:cs="Calibri" w:eastAsia="Calibri" w:hAnsi="Calibri"/>
          <w:b/>
          <w:bCs/>
          <w:color w:val="1B1B1B"/>
          <w:sz w:val="22"/>
          <w:szCs w:val="22"/>
        </w:rPr>
        <w:t xml:space="preserve">Avian Influenza / HPAI (emerging regional concern with global trade implications): </w:t>
      </w:r>
      <w:r>
        <w:rPr>
          <w:rFonts w:ascii="Calibri" w:cs="Calibri" w:eastAsia="Calibri" w:hAnsi="Calibri"/>
          <w:color w:val="1B1B1B"/>
          <w:sz w:val="22"/>
          <w:szCs w:val="22"/>
        </w:rPr>
        <w:t xml:space="preserve">Highly Pathogenic Avian Influenza (H5N1, H7N9, H5N8 and emerging strains); emerging regional concern with structural global-trade-restricting characteristics; structural OIE-aligned outbreak-control discipline; emerging regional surveillance-and-response infrastructure.</w:t>
      </w:r>
    </w:p>
    <w:p>
      <w:pPr>
        <w:pStyle w:val="ListParagraph"/>
        <w:numPr>
          <w:ilvl w:val="0"/>
          <w:numId w:val="2"/>
        </w:numPr>
        <w:spacing w:after="80" w:line="290"/>
      </w:pPr>
      <w:r>
        <w:rPr>
          <w:rFonts w:ascii="Calibri" w:cs="Calibri" w:eastAsia="Calibri" w:hAnsi="Calibri"/>
          <w:b/>
          <w:bCs/>
          <w:color w:val="1B1B1B"/>
          <w:sz w:val="22"/>
          <w:szCs w:val="22"/>
        </w:rPr>
        <w:t xml:space="preserve">Infectious Bronchitis / IB (commercial-layer respiratory-and-reproductive concern): </w:t>
      </w:r>
      <w:r>
        <w:rPr>
          <w:rFonts w:ascii="Calibri" w:cs="Calibri" w:eastAsia="Calibri" w:hAnsi="Calibri"/>
          <w:color w:val="1B1B1B"/>
          <w:sz w:val="22"/>
          <w:szCs w:val="22"/>
        </w:rPr>
        <w:t xml:space="preserve">Caused by Infectious Bronchitis Virus (Coronavirus); structural respiratory-and-reproductive concern affecting commercial-layer productivity; vaccination programmes structurally available; structural commercial-layer management discipline.</w:t>
      </w:r>
    </w:p>
    <w:p>
      <w:pPr>
        <w:pStyle w:val="ListParagraph"/>
        <w:numPr>
          <w:ilvl w:val="0"/>
          <w:numId w:val="2"/>
        </w:numPr>
        <w:spacing w:after="80" w:line="290"/>
      </w:pPr>
      <w:r>
        <w:rPr>
          <w:rFonts w:ascii="Calibri" w:cs="Calibri" w:eastAsia="Calibri" w:hAnsi="Calibri"/>
          <w:b/>
          <w:bCs/>
          <w:color w:val="1B1B1B"/>
          <w:sz w:val="22"/>
          <w:szCs w:val="22"/>
        </w:rPr>
        <w:t xml:space="preserve">Infectious Bursal Disease / IBD / Gumboro (immunosuppressive disease): </w:t>
      </w:r>
      <w:r>
        <w:rPr>
          <w:rFonts w:ascii="Calibri" w:cs="Calibri" w:eastAsia="Calibri" w:hAnsi="Calibri"/>
          <w:color w:val="1B1B1B"/>
          <w:sz w:val="22"/>
          <w:szCs w:val="22"/>
        </w:rPr>
        <w:t xml:space="preserve">Caused by IBD virus; structural immunosuppressive disease addressed at hatchery-stage vaccination; significant smallholder-and-commercial layer concern.</w:t>
      </w:r>
    </w:p>
    <w:p>
      <w:pPr>
        <w:pStyle w:val="ListParagraph"/>
        <w:numPr>
          <w:ilvl w:val="0"/>
          <w:numId w:val="2"/>
        </w:numPr>
        <w:spacing w:after="80" w:line="290"/>
      </w:pPr>
      <w:r>
        <w:rPr>
          <w:rFonts w:ascii="Calibri" w:cs="Calibri" w:eastAsia="Calibri" w:hAnsi="Calibri"/>
          <w:b/>
          <w:bCs/>
          <w:color w:val="1B1B1B"/>
          <w:sz w:val="22"/>
          <w:szCs w:val="22"/>
        </w:rPr>
        <w:t xml:space="preserve">Marek’s Disease (lymphoid tumour disease): </w:t>
      </w:r>
      <w:r>
        <w:rPr>
          <w:rFonts w:ascii="Calibri" w:cs="Calibri" w:eastAsia="Calibri" w:hAnsi="Calibri"/>
          <w:color w:val="1B1B1B"/>
          <w:sz w:val="22"/>
          <w:szCs w:val="22"/>
        </w:rPr>
        <w:t xml:space="preserve">Caused by Marek’s Disease Virus (Herpesvirus); structural lymphoid-tumour disease addressed at hatchery-stage vaccination (typically HVT-and-equivalent vaccines); structural commercial-layer hatchery-and-rearing discipline.</w:t>
      </w:r>
    </w:p>
    <w:p>
      <w:pPr>
        <w:pStyle w:val="ListParagraph"/>
        <w:numPr>
          <w:ilvl w:val="0"/>
          <w:numId w:val="2"/>
        </w:numPr>
        <w:spacing w:after="80" w:line="290"/>
      </w:pPr>
      <w:r>
        <w:rPr>
          <w:rFonts w:ascii="Calibri" w:cs="Calibri" w:eastAsia="Calibri" w:hAnsi="Calibri"/>
          <w:b/>
          <w:bCs/>
          <w:color w:val="1B1B1B"/>
          <w:sz w:val="22"/>
          <w:szCs w:val="22"/>
        </w:rPr>
        <w:t xml:space="preserve">Coccidiosis / Eimeria species (intestinal protozoal disease): </w:t>
      </w:r>
      <w:r>
        <w:rPr>
          <w:rFonts w:ascii="Calibri" w:cs="Calibri" w:eastAsia="Calibri" w:hAnsi="Calibri"/>
          <w:color w:val="1B1B1B"/>
          <w:sz w:val="22"/>
          <w:szCs w:val="22"/>
        </w:rPr>
        <w:t xml:space="preserve">Eimeria tenella, E. necatrix, E. acervulina and other species; structural intestinal protozoal concern in deep-litter and floor-based operations; anti-coccidial protocols (ionophores, anticoccidial drugs, vaccination) principal management approach.</w:t>
      </w:r>
    </w:p>
    <w:p>
      <w:pPr>
        <w:pStyle w:val="ListParagraph"/>
        <w:numPr>
          <w:ilvl w:val="0"/>
          <w:numId w:val="2"/>
        </w:numPr>
        <w:spacing w:after="80" w:line="290"/>
      </w:pPr>
      <w:r>
        <w:rPr>
          <w:rFonts w:ascii="Calibri" w:cs="Calibri" w:eastAsia="Calibri" w:hAnsi="Calibri"/>
          <w:b/>
          <w:bCs/>
          <w:color w:val="1B1B1B"/>
          <w:sz w:val="22"/>
          <w:szCs w:val="22"/>
        </w:rPr>
        <w:t xml:space="preserve">Mycoplasma gallisepticum (chronic respiratory disease): </w:t>
      </w:r>
      <w:r>
        <w:rPr>
          <w:rFonts w:ascii="Calibri" w:cs="Calibri" w:eastAsia="Calibri" w:hAnsi="Calibri"/>
          <w:color w:val="1B1B1B"/>
          <w:sz w:val="22"/>
          <w:szCs w:val="22"/>
        </w:rPr>
        <w:t xml:space="preserve">Bacterial chronic respiratory disease; structural commercial-layer concern; vaccination-and-biosecurity-and-management protocols.</w:t>
      </w:r>
    </w:p>
    <w:p>
      <w:pPr>
        <w:pStyle w:val="ListParagraph"/>
        <w:numPr>
          <w:ilvl w:val="0"/>
          <w:numId w:val="2"/>
        </w:numPr>
        <w:spacing w:after="80" w:line="290"/>
      </w:pPr>
      <w:r>
        <w:rPr>
          <w:rFonts w:ascii="Calibri" w:cs="Calibri" w:eastAsia="Calibri" w:hAnsi="Calibri"/>
          <w:b/>
          <w:bCs/>
          <w:color w:val="1B1B1B"/>
          <w:sz w:val="22"/>
          <w:szCs w:val="22"/>
        </w:rPr>
        <w:t xml:space="preserve">Salmonella (zoonotic concern): </w:t>
      </w:r>
      <w:r>
        <w:rPr>
          <w:rFonts w:ascii="Calibri" w:cs="Calibri" w:eastAsia="Calibri" w:hAnsi="Calibri"/>
          <w:color w:val="1B1B1B"/>
          <w:sz w:val="22"/>
          <w:szCs w:val="22"/>
        </w:rPr>
        <w:t xml:space="preserve">Salmonella enterica serovars including Salmonella Pullorum, S. Gallinarum, S. Enteritidis, S. Typhimurium; structural zoonotic-and-egg-quality-and-public-health concern; testing-and-culling discipline; structural hatchery-stage Pullorum-Typhoid eradication frameworks.</w:t>
      </w:r>
    </w:p>
    <w:p>
      <w:pPr>
        <w:pStyle w:val="ListParagraph"/>
        <w:numPr>
          <w:ilvl w:val="0"/>
          <w:numId w:val="2"/>
        </w:numPr>
        <w:spacing w:after="80" w:line="290"/>
      </w:pPr>
      <w:r>
        <w:rPr>
          <w:rFonts w:ascii="Calibri" w:cs="Calibri" w:eastAsia="Calibri" w:hAnsi="Calibri"/>
          <w:b/>
          <w:bCs/>
          <w:color w:val="1B1B1B"/>
          <w:sz w:val="22"/>
          <w:szCs w:val="22"/>
        </w:rPr>
        <w:t xml:space="preserve">Helminth (worm) burden: </w:t>
      </w:r>
      <w:r>
        <w:rPr>
          <w:rFonts w:ascii="Calibri" w:cs="Calibri" w:eastAsia="Calibri" w:hAnsi="Calibri"/>
          <w:color w:val="1B1B1B"/>
          <w:sz w:val="22"/>
          <w:szCs w:val="22"/>
        </w:rPr>
        <w:t xml:space="preserve">Roundworm (Ascaridia galli), tapeworm, capillaria; structural productivity-loss driver; periodic deworming protocols principal management approach.</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Newcastle vaccination scale-up (the structural commercial-development infrastructure): </w:t>
      </w:r>
      <w:r>
        <w:rPr>
          <w:rFonts w:ascii="Calibri" w:cs="Calibri" w:eastAsia="Calibri" w:hAnsi="Calibri"/>
          <w:color w:val="1B1B1B"/>
          <w:sz w:val="22"/>
          <w:szCs w:val="22"/>
        </w:rPr>
        <w:t xml:space="preserve">Cooperative-and-extension-supported smallholder Newcastle vaccination programmes through i2-strain thermostable vaccines, Lasota-strain vaccines, and oral-and-eye-drop application protocols;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Avian Influenza surveillance-and-response infrastructure: </w:t>
      </w:r>
      <w:r>
        <w:rPr>
          <w:rFonts w:ascii="Calibri" w:cs="Calibri" w:eastAsia="Calibri" w:hAnsi="Calibri"/>
          <w:color w:val="1B1B1B"/>
          <w:sz w:val="22"/>
          <w:szCs w:val="22"/>
        </w:rPr>
        <w:t xml:space="preserve">Emerging regional Avian Influenza surveillance-and-response infrastructure through DVS-equivalent regulatory authorities; structural global-trade-anticipation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para-veterinary networks for poultry: </w:t>
      </w:r>
      <w:r>
        <w:rPr>
          <w:rFonts w:ascii="Calibri" w:cs="Calibri" w:eastAsia="Calibri" w:hAnsi="Calibri"/>
          <w:color w:val="1B1B1B"/>
          <w:sz w:val="22"/>
          <w:szCs w:val="22"/>
        </w:rPr>
        <w:t xml:space="preserve">Emerging cooperative poultry-cooperative-affiliated para-veterinary technician networks providing structurally important smallholder veterinary access;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Hatchery-integrated vaccination scale-up: </w:t>
      </w:r>
      <w:r>
        <w:rPr>
          <w:rFonts w:ascii="Calibri" w:cs="Calibri" w:eastAsia="Calibri" w:hAnsi="Calibri"/>
          <w:color w:val="1B1B1B"/>
          <w:sz w:val="22"/>
          <w:szCs w:val="22"/>
        </w:rPr>
        <w:t xml:space="preserve">Hatchery-stage Marek’s, IBD, NDV, IB vaccination at Kenchic-and-equivalent regional hatcheries; structural commercial-development reference for productivity-protection foundation.</w:t>
      </w:r>
    </w:p>
    <w:p>
      <w:pPr>
        <w:pStyle w:val="ListParagraph"/>
        <w:numPr>
          <w:ilvl w:val="0"/>
          <w:numId w:val="2"/>
        </w:numPr>
        <w:spacing w:after="80" w:line="290"/>
      </w:pPr>
      <w:r>
        <w:rPr>
          <w:rFonts w:ascii="Calibri" w:cs="Calibri" w:eastAsia="Calibri" w:hAnsi="Calibri"/>
          <w:b/>
          <w:bCs/>
          <w:color w:val="1B1B1B"/>
          <w:sz w:val="22"/>
          <w:szCs w:val="22"/>
        </w:rPr>
        <w:t xml:space="preserve">Antibiotic stewardship: </w:t>
      </w:r>
      <w:r>
        <w:rPr>
          <w:rFonts w:ascii="Calibri" w:cs="Calibri" w:eastAsia="Calibri" w:hAnsi="Calibri"/>
          <w:color w:val="1B1B1B"/>
          <w:sz w:val="22"/>
          <w:szCs w:val="22"/>
        </w:rPr>
        <w:t xml:space="preserve">Emerging regional antibiotic stewardship programmes addressing antimicrobial resistance concerns especially in commercial-layer industry; HACCP-aligned commercial-layer production protocols; structural alignment with international AMR frameworks.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veterinary services; emerging organic layer operations with restricted antibiotic protocols; specialty single-origin layer operations integrating animal-welfare and biosecurity-protocol differentiation.</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Newcastle vaccination protocols: structural OIE-aligned NDV vaccination framework; Lasota, B1, i2, and equivalent strain vaccines; cooperative-and-extension-supported smallholder vaccination programmes.</w:t>
      </w:r>
    </w:p>
    <w:p>
      <w:pPr>
        <w:pStyle w:val="ListParagraph"/>
        <w:numPr>
          <w:ilvl w:val="0"/>
          <w:numId w:val="2"/>
        </w:numPr>
        <w:spacing w:after="80" w:line="290"/>
      </w:pPr>
      <w:r>
        <w:rPr>
          <w:rFonts w:ascii="Calibri" w:cs="Calibri" w:eastAsia="Calibri" w:hAnsi="Calibri"/>
          <w:color w:val="1B1B1B"/>
          <w:sz w:val="22"/>
          <w:szCs w:val="22"/>
        </w:rPr>
        <w:t xml:space="preserve">Hatchery vaccination: typical Marek’s, IBD, NDV, IB vaccination at hatchery-stage; structural Pullorum-Typhoid testing-and-eradication.</w:t>
      </w:r>
    </w:p>
    <w:p>
      <w:pPr>
        <w:pStyle w:val="ListParagraph"/>
        <w:numPr>
          <w:ilvl w:val="0"/>
          <w:numId w:val="2"/>
        </w:numPr>
        <w:spacing w:after="80" w:line="290"/>
      </w:pPr>
      <w:r>
        <w:rPr>
          <w:rFonts w:ascii="Calibri" w:cs="Calibri" w:eastAsia="Calibri" w:hAnsi="Calibri"/>
          <w:color w:val="1B1B1B"/>
          <w:sz w:val="22"/>
          <w:szCs w:val="22"/>
        </w:rPr>
        <w:t xml:space="preserve">Avian Influenza surveillance: emerging regional surveillance frameworks; structural OIE-aligned outbreak-control discipline.</w:t>
      </w:r>
    </w:p>
    <w:p>
      <w:pPr>
        <w:pStyle w:val="ListParagraph"/>
        <w:numPr>
          <w:ilvl w:val="0"/>
          <w:numId w:val="2"/>
        </w:numPr>
        <w:spacing w:after="80" w:line="290"/>
      </w:pPr>
      <w:r>
        <w:rPr>
          <w:rFonts w:ascii="Calibri" w:cs="Calibri" w:eastAsia="Calibri" w:hAnsi="Calibri"/>
          <w:color w:val="1B1B1B"/>
          <w:sz w:val="22"/>
          <w:szCs w:val="22"/>
        </w:rPr>
        <w:t xml:space="preserve">Anti-coccidial protocols: structural commercial-layer ionophore-and-anticoccidial-drug rotation programmes.</w:t>
      </w:r>
    </w:p>
    <w:p>
      <w:pPr>
        <w:pStyle w:val="ListParagraph"/>
        <w:numPr>
          <w:ilvl w:val="0"/>
          <w:numId w:val="2"/>
        </w:numPr>
        <w:spacing w:after="80" w:line="290"/>
      </w:pPr>
      <w:r>
        <w:rPr>
          <w:rFonts w:ascii="Calibri" w:cs="Calibri" w:eastAsia="Calibri" w:hAnsi="Calibri"/>
          <w:color w:val="1B1B1B"/>
          <w:sz w:val="22"/>
          <w:szCs w:val="22"/>
        </w:rPr>
        <w:t xml:space="preserve">Antibiotic withdrawal periods: typically 1–7 days before egg sale; structural egg-residue-control protocol.</w:t>
      </w:r>
    </w:p>
    <w:p>
      <w:pPr>
        <w:pStyle w:val="ListParagraph"/>
        <w:numPr>
          <w:ilvl w:val="0"/>
          <w:numId w:val="2"/>
        </w:numPr>
        <w:spacing w:after="80" w:line="290"/>
      </w:pPr>
      <w:r>
        <w:rPr>
          <w:rFonts w:ascii="Calibri" w:cs="Calibri" w:eastAsia="Calibri" w:hAnsi="Calibri"/>
          <w:color w:val="1B1B1B"/>
          <w:sz w:val="22"/>
          <w:szCs w:val="22"/>
        </w:rPr>
        <w:t xml:space="preserve">Certification: OIE-aligned regional standards; KEBS, TBS, UNBS, RSB, BBS standards apply; HACCP for premium commercial-layer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Government veterinary: DVS Kenya, Kabete; KEVEVAPI for regional poultry vaccine production. Private veterinary: Kenya Veterinary Association members; Kenchic-integrated veterinary capacity. Para-veterinary: emerging cooperative poultry networks. Vaccines: Cooper Kenya; Norvet Pharmaceuticals; Highchem East Africa; ULTRAVETIS East Africa.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Government veterinary: Tanzania Veterinary Services; TVLA. Private veterinary: Veterinary Council of Tanzania members. Para-veterinary: emerging cooperative networks; AGCOT-cluster-affiliated extension.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Government veterinary: MAAIF Veterinary Services; NaLIRRI; NADDEC. Private veterinary: Uganda Veterinary Association; Ugachick-integrated and Biyinzika-integrated veterinary capacity.</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Government veterinary: RAB Animal Resources Department. Private veterinary: emerging professional infrastructure.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Government veterinary: ISABU livestock division; Ministry of Environment, Agriculture and Livestock veterinary services.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Layer veterinary services and animal health are structurally critical for high-density commercial-layer production. Newcastle Disease vaccination discipline is the structural smallholder-and-commercial productivity-protection vector; Avian Influenza surveillance-and-response infrastructure is the structural emerging global-trade-anticipation commercial-development reference; Marek’s, IBD, IB, coccidiosis, and Salmonella management together comprise the regional layer disease pressure landscape.</w:t>
      </w:r>
    </w:p>
    <w:p>
      <w:pPr>
        <w:spacing w:after="120" w:line="300"/>
      </w:pPr>
      <w:r>
        <w:rPr>
          <w:rFonts w:ascii="Calibri" w:cs="Calibri" w:eastAsia="Calibri" w:hAnsi="Calibri"/>
          <w:color w:val="1B1B1B"/>
          <w:sz w:val="22"/>
          <w:szCs w:val="22"/>
        </w:rPr>
        <w:t xml:space="preserve">For commercial layer operators, the actionable rule is integrated hatchery-stage-and-field-stage vaccination protocol adherence with structural Newcastle, Avian Influenza, Infectious Bronchitis, Marek’s, IBD, and Salmonella management. For smallholder layer producers, participation in cooperative-affiliated Newcastle vaccination programmes with structured biosecurity protocol adherence anchors the smallholder commercial-development pathway. For impact investors and governments, scaling cooperative smallholder Newcastle vaccination programmes and emerging Avian Influenza surveillance-and-response infrastructure anchors the regional layer industry productivity-protection commercial-development trajectory.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05</w:t>
            </w:r>
          </w:p>
          <w:p>
            <w:pPr>
              <w:spacing w:after="40"/>
            </w:pPr>
            <w:r>
              <w:rPr>
                <w:rFonts w:ascii="Calibri" w:cs="Calibri" w:eastAsia="Calibri" w:hAnsi="Calibri"/>
                <w:b/>
                <w:bCs/>
                <w:color w:val="FFFFFF"/>
                <w:sz w:val="36"/>
                <w:szCs w:val="36"/>
              </w:rPr>
              <w:t xml:space="preserve">Egg Quality &amp; Cold Chain</w:t>
            </w:r>
          </w:p>
          <w:p>
            <w:r>
              <w:rPr>
                <w:rFonts w:ascii="Calibri" w:cs="Calibri" w:eastAsia="Calibri" w:hAnsi="Calibri"/>
                <w:i/>
                <w:iCs/>
                <w:color w:val="FFFFFF"/>
                <w:sz w:val="20"/>
                <w:szCs w:val="20"/>
              </w:rPr>
              <w:t xml:space="preserve">Egg grading  •  Albumen/yolk quality  •  Cold-chain logistics</w:t>
            </w:r>
            <w:r>
              <w:rPr>
                <w:rFonts w:ascii="Calibri" w:cs="Calibri" w:eastAsia="Calibri" w:hAnsi="Calibri"/>
                <w:color w:val="FFFFFF"/>
                <w:sz w:val="20"/>
                <w:szCs w:val="20"/>
              </w:rPr>
              <w:t xml:space="preserve">   •   Ubora wa mayai (Sw)  •  The commercial-grade access vector</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QUALITY PARAMETERS</w:t>
            </w:r>
          </w:p>
          <w:p>
            <w:r>
              <w:rPr>
                <w:rFonts w:ascii="Calibri" w:cs="Calibri" w:eastAsia="Calibri" w:hAnsi="Calibri"/>
                <w:color w:val="1B1B1B"/>
                <w:sz w:val="20"/>
                <w:szCs w:val="20"/>
              </w:rPr>
              <w:t xml:space="preserve">Shell quality; albumen height (Haugh units); yolk colour; freshness; size grading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COLD-CHAIN TARGET</w:t>
            </w:r>
          </w:p>
          <w:p>
            <w:r>
              <w:rPr>
                <w:rFonts w:ascii="Calibri" w:cs="Calibri" w:eastAsia="Calibri" w:hAnsi="Calibri"/>
                <w:color w:val="1B1B1B"/>
                <w:sz w:val="20"/>
                <w:szCs w:val="20"/>
              </w:rPr>
              <w:t xml:space="preserve">Eggs typically stored 13–18°C, 70–85% RH; 3–21 day shelf life ambient</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EGG GRADING</w:t>
            </w:r>
          </w:p>
          <w:p>
            <w:r>
              <w:rPr>
                <w:rFonts w:ascii="Calibri" w:cs="Calibri" w:eastAsia="Calibri" w:hAnsi="Calibri"/>
                <w:color w:val="1B1B1B"/>
                <w:sz w:val="20"/>
                <w:szCs w:val="20"/>
              </w:rPr>
              <w:t xml:space="preserve">Size grading: small (&lt;53 g); medium (53–63 g); large (63–73 g); extra-large (&gt;73 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Egg grading-and-cold-chain access determines premium-grade pricing; structural smallholder gap</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Egg quality and cold-chain access together determine commercial-grade pricing access. Quality-graded eggs from licensed commercial-and-cooperative operations with appropriate handling-and-storage conditions command 20–60% premium over informal-market mixed-grade trade; the licensed grading-and-packing-and-cold-chain infrastructure that captures the premium is anchored by Kenchic-affiliated operations and emerging regional commercial operators. Five quality parameters anchor regional commercial egg economics: shell quality (the structural shell-thickness-and-integrity indicator); albumen height (Haugh units — the structural freshness-and-quality indicator); yolk colour (the structural feed-and-pigmentation-derived indicator); size grading (small, medium, large, extra-large per international and regional standards); and freshness (typically egg-quality declines noticeably after 14–21 days at ambient conditions).</w:t>
      </w:r>
    </w:p>
    <w:p>
      <w:pPr>
        <w:spacing w:after="120" w:line="300"/>
      </w:pPr>
      <w:r>
        <w:rPr>
          <w:rFonts w:ascii="Calibri" w:cs="Calibri" w:eastAsia="Calibri" w:hAnsi="Calibri"/>
          <w:color w:val="1B1B1B"/>
          <w:sz w:val="22"/>
          <w:szCs w:val="22"/>
        </w:rPr>
        <w:t xml:space="preserve">Egg cold-chain economics are structurally distinctive among regional animal-protein products. Unlike meat-and-dairy (which require structural sub-4°C cold-chain throughout), eggs operate principally in cool-storage rather than refrigerated cold-chain: typical commercial egg storage at 13–18°C and 70–85% RH provides 3–21 day shelf life; refrigerated storage at sub-4°C extends shelf life significantly but is not strictly required regionally given moderate ambient temperatures and structural rapid-distribution patterns. The structural commercial-grade access challenge is consistent grading-and-packing infrastructure rather than refrigerated cold-chain per se.</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Shell quality (the structural shell-thickness-and-integrity indicator): </w:t>
      </w:r>
      <w:r>
        <w:rPr>
          <w:rFonts w:ascii="Calibri" w:cs="Calibri" w:eastAsia="Calibri" w:hAnsi="Calibri"/>
          <w:color w:val="1B1B1B"/>
          <w:sz w:val="22"/>
          <w:szCs w:val="22"/>
        </w:rPr>
        <w:t xml:space="preserve">Premium-grade typically intact shells without cracks or discoloration; structural commercial-grade shell-quality discipline; emerging automated egg-grading-line shell-quality detection.</w:t>
      </w:r>
    </w:p>
    <w:p>
      <w:pPr>
        <w:pStyle w:val="ListParagraph"/>
        <w:numPr>
          <w:ilvl w:val="0"/>
          <w:numId w:val="2"/>
        </w:numPr>
        <w:spacing w:after="80" w:line="290"/>
      </w:pPr>
      <w:r>
        <w:rPr>
          <w:rFonts w:ascii="Calibri" w:cs="Calibri" w:eastAsia="Calibri" w:hAnsi="Calibri"/>
          <w:b/>
          <w:bCs/>
          <w:color w:val="1B1B1B"/>
          <w:sz w:val="22"/>
          <w:szCs w:val="22"/>
        </w:rPr>
        <w:t xml:space="preserve">Albumen height / Haugh units (the freshness-and-quality indicator): </w:t>
      </w:r>
      <w:r>
        <w:rPr>
          <w:rFonts w:ascii="Calibri" w:cs="Calibri" w:eastAsia="Calibri" w:hAnsi="Calibri"/>
          <w:color w:val="1B1B1B"/>
          <w:sz w:val="22"/>
          <w:szCs w:val="22"/>
        </w:rPr>
        <w:t xml:space="preserve">Haugh units measurement (HU — albumen-height-to-egg-weight ratio); premium-grade typically HU 80+; standard-grade HU 60–80; structural age-and-storage-and-handling determinant.</w:t>
      </w:r>
    </w:p>
    <w:p>
      <w:pPr>
        <w:pStyle w:val="ListParagraph"/>
        <w:numPr>
          <w:ilvl w:val="0"/>
          <w:numId w:val="2"/>
        </w:numPr>
        <w:spacing w:after="80" w:line="290"/>
      </w:pPr>
      <w:r>
        <w:rPr>
          <w:rFonts w:ascii="Calibri" w:cs="Calibri" w:eastAsia="Calibri" w:hAnsi="Calibri"/>
          <w:b/>
          <w:bCs/>
          <w:color w:val="1B1B1B"/>
          <w:sz w:val="22"/>
          <w:szCs w:val="22"/>
        </w:rPr>
        <w:t xml:space="preserve">Yolk colour (the feed-and-pigmentation indicator): </w:t>
      </w:r>
      <w:r>
        <w:rPr>
          <w:rFonts w:ascii="Calibri" w:cs="Calibri" w:eastAsia="Calibri" w:hAnsi="Calibri"/>
          <w:color w:val="1B1B1B"/>
          <w:sz w:val="22"/>
          <w:szCs w:val="22"/>
        </w:rPr>
        <w:t xml:space="preserve">Yolk colour grading typically through Roche Yolk Colour Fan (1–15 scale); regional consumer-and-retail preference for darker yolks (typically 8–12 on Roche scale); structural feed-pigmentation discipline (xanthophyll-rich feed inputs from yellow maize, marigold petals, paprika).</w:t>
      </w:r>
    </w:p>
    <w:p>
      <w:pPr>
        <w:pStyle w:val="ListParagraph"/>
        <w:numPr>
          <w:ilvl w:val="0"/>
          <w:numId w:val="2"/>
        </w:numPr>
        <w:spacing w:after="80" w:line="290"/>
      </w:pPr>
      <w:r>
        <w:rPr>
          <w:rFonts w:ascii="Calibri" w:cs="Calibri" w:eastAsia="Calibri" w:hAnsi="Calibri"/>
          <w:b/>
          <w:bCs/>
          <w:color w:val="1B1B1B"/>
          <w:sz w:val="22"/>
          <w:szCs w:val="22"/>
        </w:rPr>
        <w:t xml:space="preserve">Size grading (the commercial-grade-and-pricing structural framework): </w:t>
      </w:r>
      <w:r>
        <w:rPr>
          <w:rFonts w:ascii="Calibri" w:cs="Calibri" w:eastAsia="Calibri" w:hAnsi="Calibri"/>
          <w:color w:val="1B1B1B"/>
          <w:sz w:val="22"/>
          <w:szCs w:val="22"/>
        </w:rPr>
        <w:t xml:space="preserve">Small (under 53 g), medium (53–63 g), large (63–73 g), extra-large (over 73 g); structural commercial-grade pricing differentiation; emerging regional automated egg-grading-line size-sorting capability.</w:t>
      </w:r>
    </w:p>
    <w:p>
      <w:pPr>
        <w:pStyle w:val="ListParagraph"/>
        <w:numPr>
          <w:ilvl w:val="0"/>
          <w:numId w:val="2"/>
        </w:numPr>
        <w:spacing w:after="80" w:line="290"/>
      </w:pPr>
      <w:r>
        <w:rPr>
          <w:rFonts w:ascii="Calibri" w:cs="Calibri" w:eastAsia="Calibri" w:hAnsi="Calibri"/>
          <w:b/>
          <w:bCs/>
          <w:color w:val="1B1B1B"/>
          <w:sz w:val="22"/>
          <w:szCs w:val="22"/>
        </w:rPr>
        <w:t xml:space="preserve">Freshness (the structural shelf-life indicator): </w:t>
      </w:r>
      <w:r>
        <w:rPr>
          <w:rFonts w:ascii="Calibri" w:cs="Calibri" w:eastAsia="Calibri" w:hAnsi="Calibri"/>
          <w:color w:val="1B1B1B"/>
          <w:sz w:val="22"/>
          <w:szCs w:val="22"/>
        </w:rPr>
        <w:t xml:space="preserve">Typically egg-quality declines noticeably after 14–21 days at ambient conditions; structural cooperative-and-commercial rapid-aggregation-and-distribution protocols.</w:t>
      </w:r>
    </w:p>
    <w:p>
      <w:pPr>
        <w:pStyle w:val="ListParagraph"/>
        <w:numPr>
          <w:ilvl w:val="0"/>
          <w:numId w:val="2"/>
        </w:numPr>
        <w:spacing w:after="80" w:line="290"/>
      </w:pPr>
      <w:r>
        <w:rPr>
          <w:rFonts w:ascii="Calibri" w:cs="Calibri" w:eastAsia="Calibri" w:hAnsi="Calibri"/>
          <w:b/>
          <w:bCs/>
          <w:color w:val="1B1B1B"/>
          <w:sz w:val="22"/>
          <w:szCs w:val="22"/>
        </w:rPr>
        <w:t xml:space="preserve">Cool storage (the regional cold-chain reference): </w:t>
      </w:r>
      <w:r>
        <w:rPr>
          <w:rFonts w:ascii="Calibri" w:cs="Calibri" w:eastAsia="Calibri" w:hAnsi="Calibri"/>
          <w:color w:val="1B1B1B"/>
          <w:sz w:val="22"/>
          <w:szCs w:val="22"/>
        </w:rPr>
        <w:t xml:space="preserve">Typical commercial egg storage at 13–18°C and 70–85% RH; refrigerated sub-4°C storage extends shelf life significantly; emerging commercial cool-room infrastructure across regional grading-and-packing operations.</w:t>
      </w:r>
    </w:p>
    <w:p>
      <w:pPr>
        <w:pStyle w:val="ListParagraph"/>
        <w:numPr>
          <w:ilvl w:val="0"/>
          <w:numId w:val="2"/>
        </w:numPr>
        <w:spacing w:after="80" w:line="290"/>
      </w:pPr>
      <w:r>
        <w:rPr>
          <w:rFonts w:ascii="Calibri" w:cs="Calibri" w:eastAsia="Calibri" w:hAnsi="Calibri"/>
          <w:b/>
          <w:bCs/>
          <w:color w:val="1B1B1B"/>
          <w:sz w:val="22"/>
          <w:szCs w:val="22"/>
        </w:rPr>
        <w:t xml:space="preserve">Egg-grading and packing operations: </w:t>
      </w:r>
      <w:r>
        <w:rPr>
          <w:rFonts w:ascii="Calibri" w:cs="Calibri" w:eastAsia="Calibri" w:hAnsi="Calibri"/>
          <w:color w:val="1B1B1B"/>
          <w:sz w:val="22"/>
          <w:szCs w:val="22"/>
        </w:rPr>
        <w:t xml:space="preserve">Kenchic-affiliated commercial egg grading-and-packing operations; emerging Tanzanian, Ugandan, Rwandan, Burundian commercial grading-and-packing operations; significant regional informal egg-trade sector.</w:t>
      </w:r>
    </w:p>
    <w:p>
      <w:pPr>
        <w:pStyle w:val="ListParagraph"/>
        <w:numPr>
          <w:ilvl w:val="0"/>
          <w:numId w:val="2"/>
        </w:numPr>
        <w:spacing w:after="80" w:line="290"/>
      </w:pPr>
      <w:r>
        <w:rPr>
          <w:rFonts w:ascii="Calibri" w:cs="Calibri" w:eastAsia="Calibri" w:hAnsi="Calibri"/>
          <w:b/>
          <w:bCs/>
          <w:color w:val="1B1B1B"/>
          <w:sz w:val="22"/>
          <w:szCs w:val="22"/>
        </w:rPr>
        <w:t xml:space="preserve">Tray and carton packaging (the commercial-grade infrastructure): </w:t>
      </w:r>
      <w:r>
        <w:rPr>
          <w:rFonts w:ascii="Calibri" w:cs="Calibri" w:eastAsia="Calibri" w:hAnsi="Calibri"/>
          <w:color w:val="1B1B1B"/>
          <w:sz w:val="22"/>
          <w:szCs w:val="22"/>
        </w:rPr>
        <w:t xml:space="preserve">30-egg tray (open) is the regional commercial standard; 6, 10, 12, 15, 18-egg cartons emerging for premium retail; emerging plastic-and-pulp-fibre-and-foam tray-and-carton commercial diversity.</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Commercial egg grading-and-packing infrastructure expansion: </w:t>
      </w:r>
      <w:r>
        <w:rPr>
          <w:rFonts w:ascii="Calibri" w:cs="Calibri" w:eastAsia="Calibri" w:hAnsi="Calibri"/>
          <w:color w:val="1B1B1B"/>
          <w:sz w:val="22"/>
          <w:szCs w:val="22"/>
        </w:rPr>
        <w:t xml:space="preserve">Kenchic-affiliated and emerging regional commercial egg grading-and-packing operations; significant trajectory through 2024–2026 alongside premium retail expansion.</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egg aggregation infrastructure: </w:t>
      </w:r>
      <w:r>
        <w:rPr>
          <w:rFonts w:ascii="Calibri" w:cs="Calibri" w:eastAsia="Calibri" w:hAnsi="Calibri"/>
          <w:color w:val="1B1B1B"/>
          <w:sz w:val="22"/>
          <w:szCs w:val="22"/>
        </w:rPr>
        <w:t xml:space="preserve">Emerging cooperative smallholder layer aggregator infrastructure providing collection, grading, packing, and distribution services to smallholder layer producers; significant trajectory through 2024–2026 across regional smallholder layer zones.</w:t>
      </w:r>
    </w:p>
    <w:p>
      <w:pPr>
        <w:pStyle w:val="ListParagraph"/>
        <w:numPr>
          <w:ilvl w:val="0"/>
          <w:numId w:val="2"/>
        </w:numPr>
        <w:spacing w:after="80" w:line="290"/>
      </w:pPr>
      <w:r>
        <w:rPr>
          <w:rFonts w:ascii="Calibri" w:cs="Calibri" w:eastAsia="Calibri" w:hAnsi="Calibri"/>
          <w:b/>
          <w:bCs/>
          <w:color w:val="1B1B1B"/>
          <w:sz w:val="22"/>
          <w:szCs w:val="22"/>
        </w:rPr>
        <w:t xml:space="preserve">Premium retail brand expansion: </w:t>
      </w:r>
      <w:r>
        <w:rPr>
          <w:rFonts w:ascii="Calibri" w:cs="Calibri" w:eastAsia="Calibri" w:hAnsi="Calibri"/>
          <w:color w:val="1B1B1B"/>
          <w:sz w:val="22"/>
          <w:szCs w:val="22"/>
        </w:rPr>
        <w:t xml:space="preserve">Emerging premium retail egg brands across regional supermarket integration (omega-3-enriched, free-range, organic, single-origin specialty brands);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Cold-chain logistics infrastructure: </w:t>
      </w:r>
      <w:r>
        <w:rPr>
          <w:rFonts w:ascii="Calibri" w:cs="Calibri" w:eastAsia="Calibri" w:hAnsi="Calibri"/>
          <w:color w:val="1B1B1B"/>
          <w:sz w:val="22"/>
          <w:szCs w:val="22"/>
        </w:rPr>
        <w:t xml:space="preserve">Cool-room infrastructure expansion across regional commercial grading-and-packing operations; emerging refrigerated transport for premium egg distribution; structural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organic-certified egg operations; emerging single-origin specialty egg brands; emerging niche specialty (omega-3-enriched, free-range, pasture-raised premium retail differentiation); emerging brown-egg-and-white-egg specialty differentiation; emerging quail-egg and duck-egg niche premium operations.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Shell quality: premium-grade intact shells without cracks or discoloration.</w:t>
      </w:r>
    </w:p>
    <w:p>
      <w:pPr>
        <w:pStyle w:val="ListParagraph"/>
        <w:numPr>
          <w:ilvl w:val="0"/>
          <w:numId w:val="2"/>
        </w:numPr>
        <w:spacing w:after="80" w:line="290"/>
      </w:pPr>
      <w:r>
        <w:rPr>
          <w:rFonts w:ascii="Calibri" w:cs="Calibri" w:eastAsia="Calibri" w:hAnsi="Calibri"/>
          <w:color w:val="1B1B1B"/>
          <w:sz w:val="22"/>
          <w:szCs w:val="22"/>
        </w:rPr>
        <w:t xml:space="preserve">Albumen height (Haugh units): premium-grade HU 80+; standard-grade HU 60–80.</w:t>
      </w:r>
    </w:p>
    <w:p>
      <w:pPr>
        <w:pStyle w:val="ListParagraph"/>
        <w:numPr>
          <w:ilvl w:val="0"/>
          <w:numId w:val="2"/>
        </w:numPr>
        <w:spacing w:after="80" w:line="290"/>
      </w:pPr>
      <w:r>
        <w:rPr>
          <w:rFonts w:ascii="Calibri" w:cs="Calibri" w:eastAsia="Calibri" w:hAnsi="Calibri"/>
          <w:color w:val="1B1B1B"/>
          <w:sz w:val="22"/>
          <w:szCs w:val="22"/>
        </w:rPr>
        <w:t xml:space="preserve">Size grading: small (&lt;53 g); medium (53–63 g); large (63–73 g); extra-large (&gt;73 g).</w:t>
      </w:r>
    </w:p>
    <w:p>
      <w:pPr>
        <w:pStyle w:val="ListParagraph"/>
        <w:numPr>
          <w:ilvl w:val="0"/>
          <w:numId w:val="2"/>
        </w:numPr>
        <w:spacing w:after="80" w:line="290"/>
      </w:pPr>
      <w:r>
        <w:rPr>
          <w:rFonts w:ascii="Calibri" w:cs="Calibri" w:eastAsia="Calibri" w:hAnsi="Calibri"/>
          <w:color w:val="1B1B1B"/>
          <w:sz w:val="22"/>
          <w:szCs w:val="22"/>
        </w:rPr>
        <w:t xml:space="preserve">Cool storage: typical commercial egg storage at 13–18°C, 70–85% RH; refrigerated sub-4°C storage for premium-grade shelf-life extension.</w:t>
      </w:r>
    </w:p>
    <w:p>
      <w:pPr>
        <w:pStyle w:val="ListParagraph"/>
        <w:numPr>
          <w:ilvl w:val="0"/>
          <w:numId w:val="2"/>
        </w:numPr>
        <w:spacing w:after="80" w:line="290"/>
      </w:pPr>
      <w:r>
        <w:rPr>
          <w:rFonts w:ascii="Calibri" w:cs="Calibri" w:eastAsia="Calibri" w:hAnsi="Calibri"/>
          <w:color w:val="1B1B1B"/>
          <w:sz w:val="22"/>
          <w:szCs w:val="22"/>
        </w:rPr>
        <w:t xml:space="preserve">Egg-grading certification: KEBS, TBS, UNBS, RSB, BBS standards apply; emerging regional egg-grading framework.</w:t>
      </w:r>
    </w:p>
    <w:p>
      <w:pPr>
        <w:pStyle w:val="ListParagraph"/>
        <w:numPr>
          <w:ilvl w:val="0"/>
          <w:numId w:val="2"/>
        </w:numPr>
        <w:spacing w:after="80" w:line="290"/>
      </w:pPr>
      <w:r>
        <w:rPr>
          <w:rFonts w:ascii="Calibri" w:cs="Calibri" w:eastAsia="Calibri" w:hAnsi="Calibri"/>
          <w:color w:val="1B1B1B"/>
          <w:sz w:val="22"/>
          <w:szCs w:val="22"/>
        </w:rPr>
        <w:t xml:space="preserve">Salmonella testing: structural commercial-grade Salmonella surveillance discipline; emerging regional regulatory frameworks.</w:t>
      </w:r>
    </w:p>
    <w:p>
      <w:pPr>
        <w:pStyle w:val="ListParagraph"/>
        <w:numPr>
          <w:ilvl w:val="0"/>
          <w:numId w:val="2"/>
        </w:numPr>
        <w:spacing w:after="80" w:line="290"/>
      </w:pPr>
      <w:r>
        <w:rPr>
          <w:rFonts w:ascii="Calibri" w:cs="Calibri" w:eastAsia="Calibri" w:hAnsi="Calibri"/>
          <w:color w:val="1B1B1B"/>
          <w:sz w:val="22"/>
          <w:szCs w:val="22"/>
        </w:rPr>
        <w:t xml:space="preserve">Certification: HACCP and ISO 22000 for premium commercial egg operations; emerging organic and free-range certification.</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Egg-grading and packing operations: Kenchic-integrated commercial operations; emerging private commercial operators; cooperative smallholder egg aggregation networks. Cold-chain infrastructure: Davis &amp; Shirtliff cold-chain equipment; Frigoken Kenya; private commercial operators. Regulatory: DVS Kenya; KEBS.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Egg-grading and packing operations: Interchick-integrated emerging operations; AKM Glitters; AGCOT-cluster-affiliated emerging poultry operations. Regulatory: Tanzania Bureau of Standards (TBS).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Egg-grading and packing operations: Ugachick-integrated; Biyinzika-integrated; emerging private commercial operators. Regulatory: UNBS.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Egg-grading and packing operations: emerging cooperative-and-commercial operations. Regulatory: RSB.</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Egg-grading and packing operations: emerging cooperative-and-commercial operations. Regulatory: BBS.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Egg quality and cold-chain access together determine commercial-grade pricing access across the regional industry. Shell quality, Haugh units, yolk colour, size grading, and freshness anchor commercial economics; cool-storage infrastructure (13–18°C) anchors operational discipline; structural smallholder informal-trade gap defines regional commercial-development priority structure.</w:t>
      </w:r>
    </w:p>
    <w:p>
      <w:pPr>
        <w:spacing w:after="120" w:line="300"/>
      </w:pPr>
      <w:r>
        <w:rPr>
          <w:rFonts w:ascii="Calibri" w:cs="Calibri" w:eastAsia="Calibri" w:hAnsi="Calibri"/>
          <w:color w:val="1B1B1B"/>
          <w:sz w:val="22"/>
          <w:szCs w:val="22"/>
        </w:rPr>
        <w:t xml:space="preserve">For smallholder layer producers, the actionable rule is structured cooperative-aggregator participation with quality-graded delivery within commercial-grade time windows. For commercial operators, integrated grading-and-packing-and-cool-storage operations with cold-chain-integrated retail distribution. For impact investors, scaling cooperative smallholder layer aggregation infrastructure and emerging commercial egg grading-and-packing operations represents the regional layer commercial-grade access expansion opportunity.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06</w:t>
            </w:r>
          </w:p>
          <w:p>
            <w:pPr>
              <w:spacing w:after="40"/>
            </w:pPr>
            <w:r>
              <w:rPr>
                <w:rFonts w:ascii="Calibri" w:cs="Calibri" w:eastAsia="Calibri" w:hAnsi="Calibri"/>
                <w:b/>
                <w:bCs/>
                <w:color w:val="FFFFFF"/>
                <w:sz w:val="36"/>
                <w:szCs w:val="36"/>
              </w:rPr>
              <w:t xml:space="preserve">Commercial Aggregation &amp; Processing</w:t>
            </w:r>
          </w:p>
          <w:p>
            <w:r>
              <w:rPr>
                <w:rFonts w:ascii="Calibri" w:cs="Calibri" w:eastAsia="Calibri" w:hAnsi="Calibri"/>
                <w:i/>
                <w:iCs/>
                <w:color w:val="FFFFFF"/>
                <w:sz w:val="20"/>
                <w:szCs w:val="20"/>
              </w:rPr>
              <w:t xml:space="preserve">Cooperative smallholder aggregation  •  Commercial integrated  •  Premium retail</w:t>
            </w:r>
            <w:r>
              <w:rPr>
                <w:rFonts w:ascii="Calibri" w:cs="Calibri" w:eastAsia="Calibri" w:hAnsi="Calibri"/>
                <w:color w:val="FFFFFF"/>
                <w:sz w:val="20"/>
                <w:szCs w:val="20"/>
              </w:rPr>
              <w:t xml:space="preserve">   •   Ukusanyaji wa biashara (Sw)  •  Kenchic-anchored commercial-development</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AGGREGATION MODELS</w:t>
            </w:r>
          </w:p>
          <w:p>
            <w:r>
              <w:rPr>
                <w:rFonts w:ascii="Calibri" w:cs="Calibri" w:eastAsia="Calibri" w:hAnsi="Calibri"/>
                <w:color w:val="1B1B1B"/>
                <w:sz w:val="20"/>
                <w:szCs w:val="20"/>
              </w:rPr>
              <w:t xml:space="preserve">Smallholder informal trade dominant; commercial intensive direct-supply; cooperative aggregation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PROCESSOR REFERENCE</w:t>
            </w:r>
          </w:p>
          <w:p>
            <w:r>
              <w:rPr>
                <w:rFonts w:ascii="Calibri" w:cs="Calibri" w:eastAsia="Calibri" w:hAnsi="Calibri"/>
                <w:color w:val="1B1B1B"/>
                <w:sz w:val="20"/>
                <w:szCs w:val="20"/>
              </w:rPr>
              <w:t xml:space="preserve">Kenchic (KE anchor); Ugachick, Biyinzika (UG); Interchick, AKM Glitters (TZ); emerging RW, BI</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PREMIUM-GRADE ACCESS</w:t>
            </w:r>
          </w:p>
          <w:p>
            <w:r>
              <w:rPr>
                <w:rFonts w:ascii="Calibri" w:cs="Calibri" w:eastAsia="Calibri" w:hAnsi="Calibri"/>
                <w:color w:val="1B1B1B"/>
                <w:sz w:val="20"/>
                <w:szCs w:val="20"/>
              </w:rPr>
              <w:t xml:space="preserve">Premium retail and supermarket cold-chain channels; structural smallholder informal-trade gap</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Domestic-and-regional commercial-development reference (limited international export trajectory)</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Layer commercial aggregation and processing infrastructure carries the structurally distinctive integrated commercial-development trajectory anchored by Kenchic (Kenya) and emerging regional operators. Like pigs (Issue 4) and unlike cattle and small-ruminants (where Halal-export to Middle East provides structural emerging international reference), regional egg commercial-development trajectory is principally domestic-and-regional-EAC-and-COMESA cross-border focused, with structural premium-retail commercial-development reference. Eggs are structurally less-amenable to international trade than meat-and-dairy products given fragility, structural shelf-life limitations, and structural Avian-Influenza-status international trade restrictions.</w:t>
      </w:r>
    </w:p>
    <w:p>
      <w:pPr>
        <w:spacing w:after="120" w:line="300"/>
      </w:pPr>
      <w:r>
        <w:rPr>
          <w:rFonts w:ascii="Calibri" w:cs="Calibri" w:eastAsia="Calibri" w:hAnsi="Calibri"/>
          <w:color w:val="1B1B1B"/>
          <w:sz w:val="22"/>
          <w:szCs w:val="22"/>
        </w:rPr>
        <w:t xml:space="preserve">Five commercial aggregation models shape regional picture: smallholder informal-market trade (the dominant smallholder volume channel through rural-and-peri-urban informal markets); commercial intensive direct-supply (Kenchic-affiliated contract supply networks; emerging Tanzanian, Ugandan, Rwandan, Burundian commercial intensive operators); cooperative smallholder aggregation (emerging especially in Ugandan and Kenyan smallholder layer zones); commercial integrated operations (Kenchic integrated breeding-DOC-feed-production-grading-retail; emerging regional integrated commercial reference); and emerging cross-border egg trade through EAC-and-COMESA frameworks. Premium retail expansion through urban supermarket cold-chain shelves and emerging restaurant-and-food-service supply provides structural domestic premium-pricing trajectory.</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KENCHIC AND THE REGIONAL COMMERCIAL POULTRY REFERENCE</w:t>
            </w:r>
          </w:p>
          <w:p>
            <w:pPr>
              <w:spacing w:after="100" w:line="290"/>
            </w:pPr>
            <w:r>
              <w:rPr>
                <w:rFonts w:ascii="Calibri" w:cs="Calibri" w:eastAsia="Calibri" w:hAnsi="Calibri"/>
                <w:color w:val="1B1B1B"/>
                <w:sz w:val="21"/>
                <w:szCs w:val="21"/>
              </w:rPr>
              <w:t xml:space="preserve">Kenchic Limited is the structural Kenyan commercial poultry industry reference and the regional commercial-poultry commercial-development anchor. Founded as a Kenyan integrated commercial poultry operation, Kenchic has built one of East Africa’s largest integrated poultry operations spanning multiple commercial scales: parent-stock breeding operations producing commercial-grade DOCs; integrated hatchery operations supplying regional layer-and-broiler DOC commercial-and-cooperative networks; integrated feed manufacturing operations supplying commercial-grade poultry feed; integrated commercial poultry production operations across both layer-and-broiler segments; integrated egg-and-poultry-meat grading-and-packing-and-retail operations.</w:t>
            </w:r>
          </w:p>
          <w:p>
            <w:pPr>
              <w:spacing w:after="100" w:line="290"/>
            </w:pPr>
            <w:r>
              <w:rPr>
                <w:rFonts w:ascii="Calibri" w:cs="Calibri" w:eastAsia="Calibri" w:hAnsi="Calibri"/>
                <w:color w:val="1B1B1B"/>
                <w:sz w:val="21"/>
                <w:szCs w:val="21"/>
              </w:rPr>
              <w:t xml:space="preserve">The Kenchic commercial-development reference has shaped Kenyan and regional commercial poultry industry commercial structure for decades. Contract poultry supply networks providing structured DOC-and-feed-and-veterinary-and-aggregator infrastructure to participating smallholder-and-commercial poultry producers; integrated commercial operations providing structural commercial-grade DOC supply, feed supply, and aggregation services; structural urban-and-supermarket premium retail integration anchoring regional commercial-grade egg-and-poultry-meat retail; structural commercial poultry industry commercial-development reference framework that emerging regional operators (Ugachick, Biyinzika in Uganda; Interchick, AKM Glitters in Tanzania; emerging Rwandan-and-Burundian operators) increasingly parallel.</w:t>
            </w:r>
          </w:p>
          <w:p>
            <w:pPr>
              <w:spacing w:after="100" w:line="290"/>
            </w:pPr>
            <w:r>
              <w:rPr>
                <w:rFonts w:ascii="Calibri" w:cs="Calibri" w:eastAsia="Calibri" w:hAnsi="Calibri"/>
                <w:color w:val="1B1B1B"/>
                <w:sz w:val="21"/>
                <w:szCs w:val="21"/>
              </w:rPr>
              <w:t xml:space="preserve">Ugandan commercial poultry industry has emerged as a significant regional commercial-development reference. Ugachick Poultry Breeders operates integrated breeding-and-hatchery-and-feed-and-commercial-poultry operations across Central Uganda; Biyinzika Poultry operates parallel integrated commercial poultry operations; the structural Ugandan commercial poultry industry has reached significant regional commercial-development scale paralleling Kenchic Kenya and providing the regional commercial-poultry commercial-development reference.</w:t>
            </w:r>
          </w:p>
          <w:p>
            <w:pPr>
              <w:spacing w:after="100" w:line="290"/>
            </w:pPr>
            <w:r>
              <w:rPr>
                <w:rFonts w:ascii="Calibri" w:cs="Calibri" w:eastAsia="Calibri" w:hAnsi="Calibri"/>
                <w:color w:val="1B1B1B"/>
                <w:sz w:val="21"/>
                <w:szCs w:val="21"/>
              </w:rPr>
              <w:t xml:space="preserve">Tanzanian commercial poultry industry includes Interchick Tanzania and AKM Glitters as emerging integrated commercial operators alongside emerging private commercial poultry operations across Northern, Coast, and Southern Highlands. AGCOT-cluster-affiliated emerging poultry operations support structural Southern Highlands commercial-development trajectory. Rwandan commercial poultry industry includes emerging integrated commercial operations across Eastern Province and Kigali peri-urban zones. Burundian commercial poultry industry remains earlier-stage with significant available development opportunity.</w:t>
            </w:r>
          </w:p>
          <w:p>
            <w:pPr>
              <w:spacing w:after="100" w:line="290"/>
            </w:pPr>
            <w:r>
              <w:rPr>
                <w:rFonts w:ascii="Calibri" w:cs="Calibri" w:eastAsia="Calibri" w:hAnsi="Calibri"/>
                <w:color w:val="1B1B1B"/>
                <w:sz w:val="21"/>
                <w:szCs w:val="21"/>
              </w:rPr>
              <w:t xml:space="preserve">Cooperative smallholder layer aggregation paralleling the Kenchic integrated commercial-development model represents the regional commercial-development trajectory. Cooperative smallholder layer aggregator infrastructure linking DOC-and-feed-and-veterinary-and-egg-aggregation-and-buyer services to smallholder layer households addresses the structural smallholder commercial-grade-access gap; emerging Kenyan, Tanzanian, Ugandan, Rwandan, Burundian cooperative smallholder layer commercial-development pilots; structural regional commercial-development reference paralleling cooperative-CWS for coffee (Post-Harvest Series 1 Issue 4), cooperative-tea-factory KTDA model, cooperative milk aggregation (this Series Issue 1), and cooperative pastoral cattle aggregation (this Series Issue 2).</w:t>
            </w:r>
          </w:p>
          <w:p>
            <w:pPr>
              <w:spacing w:after="0" w:line="290"/>
            </w:pPr>
            <w:r>
              <w:rPr>
                <w:rFonts w:ascii="Calibri" w:cs="Calibri" w:eastAsia="Calibri" w:hAnsi="Calibri"/>
                <w:color w:val="1B1B1B"/>
                <w:sz w:val="21"/>
                <w:szCs w:val="21"/>
              </w:rPr>
              <w:t xml:space="preserve">For commercial poultry operators, the actionable rule is integrated production-and-aggregation-and-processing-and-retail commercial structure paralleling the Kenchic regional reference. For smallholder layer producers, participation in cooperative-aggregator commercial integration with structured DOC-and-feed-and-veterinary-and-quality-graded supply protocol adherence. For impact investors and governments, scaling cooperative smallholder layer commercial integration, supporting biosecurity-and-veterinary infrastructure, and supporting emerging Tanzanian, Rwandan, Burundian commercial poultry operations represents the regional layer industry commercial-development trajectory — distinctively focused on domestic-and-regional-cross-border markets given structural avian-influenza-and-fragility export limitations.</w:t>
            </w:r>
          </w:p>
        </w:tc>
      </w:tr>
    </w:tbl>
    <w:p>
      <w:r>
        <w:t xml:space="preserve"/>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Smallholder informal-market egg trade (the dominant smallholder volume channel): </w:t>
      </w:r>
      <w:r>
        <w:rPr>
          <w:rFonts w:ascii="Calibri" w:cs="Calibri" w:eastAsia="Calibri" w:hAnsi="Calibri"/>
          <w:color w:val="1B1B1B"/>
          <w:sz w:val="22"/>
          <w:szCs w:val="22"/>
        </w:rPr>
        <w:t xml:space="preserve">Direct producer-to-trader trade through regional rural-and-peri-urban informal markets; structural informal-market dominance with significant volume share; structural commercial-grade-access and egg-quality-and-public-health concerns through inadequate handling-and-storage infrastructure.</w:t>
      </w:r>
    </w:p>
    <w:p>
      <w:pPr>
        <w:pStyle w:val="ListParagraph"/>
        <w:numPr>
          <w:ilvl w:val="0"/>
          <w:numId w:val="2"/>
        </w:numPr>
        <w:spacing w:after="80" w:line="290"/>
      </w:pPr>
      <w:r>
        <w:rPr>
          <w:rFonts w:ascii="Calibri" w:cs="Calibri" w:eastAsia="Calibri" w:hAnsi="Calibri"/>
          <w:b/>
          <w:bCs/>
          <w:color w:val="1B1B1B"/>
          <w:sz w:val="22"/>
          <w:szCs w:val="22"/>
        </w:rPr>
        <w:t xml:space="preserve">Commercial intensive direct-supply (Kenchic and equivalent regional): </w:t>
      </w:r>
      <w:r>
        <w:rPr>
          <w:rFonts w:ascii="Calibri" w:cs="Calibri" w:eastAsia="Calibri" w:hAnsi="Calibri"/>
          <w:color w:val="1B1B1B"/>
          <w:sz w:val="22"/>
          <w:szCs w:val="22"/>
        </w:rPr>
        <w:t xml:space="preserve">Kenchic-affiliated integrated contract layer-production supply networks; emerging Ugachick, Biyinzika (Uganda), Interchick, AKM Glitters (Tanzania), and emerging Rwandan-and-Burundian commercial intensive operators; structural commercial-grade-access vector.</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aggregation (emerging): </w:t>
      </w:r>
      <w:r>
        <w:rPr>
          <w:rFonts w:ascii="Calibri" w:cs="Calibri" w:eastAsia="Calibri" w:hAnsi="Calibri"/>
          <w:color w:val="1B1B1B"/>
          <w:sz w:val="22"/>
          <w:szCs w:val="22"/>
        </w:rPr>
        <w:t xml:space="preserve">Emerging cooperative layer-cooperative-affiliated egg aggregator-and-DOC-and-feed-and-veterinary infrastructure linking smallholder eggs into formal commercial-grade retail-and-distribution channels; structural commercial-development opportunity.</w:t>
      </w:r>
    </w:p>
    <w:p>
      <w:pPr>
        <w:pStyle w:val="ListParagraph"/>
        <w:numPr>
          <w:ilvl w:val="0"/>
          <w:numId w:val="2"/>
        </w:numPr>
        <w:spacing w:after="80" w:line="290"/>
      </w:pPr>
      <w:r>
        <w:rPr>
          <w:rFonts w:ascii="Calibri" w:cs="Calibri" w:eastAsia="Calibri" w:hAnsi="Calibri"/>
          <w:b/>
          <w:bCs/>
          <w:color w:val="1B1B1B"/>
          <w:sz w:val="22"/>
          <w:szCs w:val="22"/>
        </w:rPr>
        <w:t xml:space="preserve">Commercial integrated operations (the regional commercial-development reference): </w:t>
      </w:r>
      <w:r>
        <w:rPr>
          <w:rFonts w:ascii="Calibri" w:cs="Calibri" w:eastAsia="Calibri" w:hAnsi="Calibri"/>
          <w:color w:val="1B1B1B"/>
          <w:sz w:val="22"/>
          <w:szCs w:val="22"/>
        </w:rPr>
        <w:t xml:space="preserve">Kenchic integrated breeding-DOC-feed-production-grading-retail operations; Ugachick and Biyinzika integrated operations; emerging Tanzanian, Rwandan, Burundian integrated commercial operations.</w:t>
      </w:r>
    </w:p>
    <w:p>
      <w:pPr>
        <w:pStyle w:val="ListParagraph"/>
        <w:numPr>
          <w:ilvl w:val="0"/>
          <w:numId w:val="2"/>
        </w:numPr>
        <w:spacing w:after="80" w:line="290"/>
      </w:pPr>
      <w:r>
        <w:rPr>
          <w:rFonts w:ascii="Calibri" w:cs="Calibri" w:eastAsia="Calibri" w:hAnsi="Calibri"/>
          <w:b/>
          <w:bCs/>
          <w:color w:val="1B1B1B"/>
          <w:sz w:val="22"/>
          <w:szCs w:val="22"/>
        </w:rPr>
        <w:t xml:space="preserve">Premium retail and supermarket cold-chain: </w:t>
      </w:r>
      <w:r>
        <w:rPr>
          <w:rFonts w:ascii="Calibri" w:cs="Calibri" w:eastAsia="Calibri" w:hAnsi="Calibri"/>
          <w:color w:val="1B1B1B"/>
          <w:sz w:val="22"/>
          <w:szCs w:val="22"/>
        </w:rPr>
        <w:t xml:space="preserve">Premium-graded eggs through urban supermarket cool-storage shelves (Naivas, Carrefour, Quickmart, Tuskys-affiliated channels); emerging Dar es Salaam, Kampala, Kigali, Bujumbura premium retail expansion.</w:t>
      </w:r>
    </w:p>
    <w:p>
      <w:pPr>
        <w:pStyle w:val="ListParagraph"/>
        <w:numPr>
          <w:ilvl w:val="0"/>
          <w:numId w:val="2"/>
        </w:numPr>
        <w:spacing w:after="80" w:line="290"/>
      </w:pPr>
      <w:r>
        <w:rPr>
          <w:rFonts w:ascii="Calibri" w:cs="Calibri" w:eastAsia="Calibri" w:hAnsi="Calibri"/>
          <w:b/>
          <w:bCs/>
          <w:color w:val="1B1B1B"/>
          <w:sz w:val="22"/>
          <w:szCs w:val="22"/>
        </w:rPr>
        <w:t xml:space="preserve">Restaurant and food-service supply: </w:t>
      </w:r>
      <w:r>
        <w:rPr>
          <w:rFonts w:ascii="Calibri" w:cs="Calibri" w:eastAsia="Calibri" w:hAnsi="Calibri"/>
          <w:color w:val="1B1B1B"/>
          <w:sz w:val="22"/>
          <w:szCs w:val="22"/>
        </w:rPr>
        <w:t xml:space="preserve">Premium egg supply to urban restaurants, hotels, bakeries, and food-service operators; significant regional emerging commercial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Cross-border regional egg trade: </w:t>
      </w:r>
      <w:r>
        <w:rPr>
          <w:rFonts w:ascii="Calibri" w:cs="Calibri" w:eastAsia="Calibri" w:hAnsi="Calibri"/>
          <w:color w:val="1B1B1B"/>
          <w:sz w:val="22"/>
          <w:szCs w:val="22"/>
        </w:rPr>
        <w:t xml:space="preserve">Emerging EAC-and-COMESA cross-border egg trade through regional regulatory frameworks; significant regional commercial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Egg processing operations (limited regional): </w:t>
      </w:r>
      <w:r>
        <w:rPr>
          <w:rFonts w:ascii="Calibri" w:cs="Calibri" w:eastAsia="Calibri" w:hAnsi="Calibri"/>
          <w:color w:val="1B1B1B"/>
          <w:sz w:val="22"/>
          <w:szCs w:val="22"/>
        </w:rPr>
        <w:t xml:space="preserve">Liquid egg, dried egg, and egg-powder processing operations are structurally limited regionally; emerging niche commercial deployment for industrial-and-bakery-and-food-service supply; emerging structural commercial-development trajectory.</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Cooperative smallholder layer commercial integration (the structural commercial-development opportunity): </w:t>
      </w:r>
      <w:r>
        <w:rPr>
          <w:rFonts w:ascii="Calibri" w:cs="Calibri" w:eastAsia="Calibri" w:hAnsi="Calibri"/>
          <w:color w:val="1B1B1B"/>
          <w:sz w:val="22"/>
          <w:szCs w:val="22"/>
        </w:rPr>
        <w:t xml:space="preserve">Emerging cooperative layer-cooperative-affiliated egg aggregator-and-DOC-and-feed-and-veterinary infrastructure especially in Kenyan, Tanzanian, Ugandan smallholder layer zones; significant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Premium retail brand expansion across regional: </w:t>
      </w:r>
      <w:r>
        <w:rPr>
          <w:rFonts w:ascii="Calibri" w:cs="Calibri" w:eastAsia="Calibri" w:hAnsi="Calibri"/>
          <w:color w:val="1B1B1B"/>
          <w:sz w:val="22"/>
          <w:szCs w:val="22"/>
        </w:rPr>
        <w:t xml:space="preserve">Emerging Tanzanian, Ugandan, Rwandan, Burundian premium retail egg brands paralleling Kenchic regional reference; significant trajectory through 2024–2026 supermarket integration.</w:t>
      </w:r>
    </w:p>
    <w:p>
      <w:pPr>
        <w:pStyle w:val="ListParagraph"/>
        <w:numPr>
          <w:ilvl w:val="0"/>
          <w:numId w:val="2"/>
        </w:numPr>
        <w:spacing w:after="80" w:line="290"/>
      </w:pPr>
      <w:r>
        <w:rPr>
          <w:rFonts w:ascii="Calibri" w:cs="Calibri" w:eastAsia="Calibri" w:hAnsi="Calibri"/>
          <w:b/>
          <w:bCs/>
          <w:color w:val="1B1B1B"/>
          <w:sz w:val="22"/>
          <w:szCs w:val="22"/>
        </w:rPr>
        <w:t xml:space="preserve">Egg processing capacity scale-up (emerging): </w:t>
      </w:r>
      <w:r>
        <w:rPr>
          <w:rFonts w:ascii="Calibri" w:cs="Calibri" w:eastAsia="Calibri" w:hAnsi="Calibri"/>
          <w:color w:val="1B1B1B"/>
          <w:sz w:val="22"/>
          <w:szCs w:val="22"/>
        </w:rPr>
        <w:t xml:space="preserve">Emerging liquid-egg-and-dried-egg-and-egg-powder processing operations for industrial-and-bakery-and-food-service supply; emerging niche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Regional cross-border egg trade expansion: </w:t>
      </w:r>
      <w:r>
        <w:rPr>
          <w:rFonts w:ascii="Calibri" w:cs="Calibri" w:eastAsia="Calibri" w:hAnsi="Calibri"/>
          <w:color w:val="1B1B1B"/>
          <w:sz w:val="22"/>
          <w:szCs w:val="22"/>
        </w:rPr>
        <w:t xml:space="preserve">Emerging EAC-and-COMESA cross-border egg trade through regional regulatory frameworks; significant regional commercial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egg brands; emerging organic-certified egg operations; specialty omega-3-enriched, free-range, pasture-raised premium retail differentiation; emerging quail-egg-and-duck-egg niche premium operations; emerging premium pickled-and-preserved egg specialty operations.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Cooperative organisation: emerging structured smallholder layer cooperative organisational frameworks; emerging regulatory authority oversight.</w:t>
      </w:r>
    </w:p>
    <w:p>
      <w:pPr>
        <w:pStyle w:val="ListParagraph"/>
        <w:numPr>
          <w:ilvl w:val="0"/>
          <w:numId w:val="2"/>
        </w:numPr>
        <w:spacing w:after="80" w:line="290"/>
      </w:pPr>
      <w:r>
        <w:rPr>
          <w:rFonts w:ascii="Calibri" w:cs="Calibri" w:eastAsia="Calibri" w:hAnsi="Calibri"/>
          <w:color w:val="1B1B1B"/>
          <w:sz w:val="22"/>
          <w:szCs w:val="22"/>
        </w:rPr>
        <w:t xml:space="preserve">Commercial operations licensing: regional DVS-equivalent regulatory authority oversight; HACCP and ISO 22000 for premium operations.</w:t>
      </w:r>
    </w:p>
    <w:p>
      <w:pPr>
        <w:pStyle w:val="ListParagraph"/>
        <w:numPr>
          <w:ilvl w:val="0"/>
          <w:numId w:val="2"/>
        </w:numPr>
        <w:spacing w:after="80" w:line="290"/>
      </w:pPr>
      <w:r>
        <w:rPr>
          <w:rFonts w:ascii="Calibri" w:cs="Calibri" w:eastAsia="Calibri" w:hAnsi="Calibri"/>
          <w:color w:val="1B1B1B"/>
          <w:sz w:val="22"/>
          <w:szCs w:val="22"/>
        </w:rPr>
        <w:t xml:space="preserve">Egg grading: emerging regional grading frameworks paralleling Kenchic operational standards.</w:t>
      </w:r>
    </w:p>
    <w:p>
      <w:pPr>
        <w:pStyle w:val="ListParagraph"/>
        <w:numPr>
          <w:ilvl w:val="0"/>
          <w:numId w:val="2"/>
        </w:numPr>
        <w:spacing w:after="80" w:line="290"/>
      </w:pPr>
      <w:r>
        <w:rPr>
          <w:rFonts w:ascii="Calibri" w:cs="Calibri" w:eastAsia="Calibri" w:hAnsi="Calibri"/>
          <w:color w:val="1B1B1B"/>
          <w:sz w:val="22"/>
          <w:szCs w:val="22"/>
        </w:rPr>
        <w:t xml:space="preserve">Premium retail brand certification: KEBS, TBS, UNBS, RSB, BBS standards apply; HACCP and ISO 22000 for premium operators; emerging organic and free-range certification.</w:t>
      </w:r>
    </w:p>
    <w:p>
      <w:pPr>
        <w:pStyle w:val="ListParagraph"/>
        <w:numPr>
          <w:ilvl w:val="0"/>
          <w:numId w:val="2"/>
        </w:numPr>
        <w:spacing w:after="80" w:line="290"/>
      </w:pPr>
      <w:r>
        <w:rPr>
          <w:rFonts w:ascii="Calibri" w:cs="Calibri" w:eastAsia="Calibri" w:hAnsi="Calibri"/>
          <w:color w:val="1B1B1B"/>
          <w:sz w:val="22"/>
          <w:szCs w:val="22"/>
        </w:rPr>
        <w:t xml:space="preserve">EAC and COMESA cross-border trade: structural regional regulatory frameworks for egg trade between member states.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Major operators: Kenchic Limited (the regional commercial poultry reference — integrated breeding, hatchery, feed, production, grading, retail); emerging private commercial layer operators. Cooperative smallholder integration: emerging cooperative layer networks. Regulatory: Kenya Veterinary Board; KEBS; Kenya Poultry Producers Association.</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Major operators: Interchick Tanzania; AKM Glitters; emerging private commercial layer operators; AGCOT-cluster-affiliated emerging poultry operations. Regulatory: Tanzania Veterinary Council; TBS.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Major operators: Ugachick Poultry Breeders (integrated breeding, hatchery, feed, production); Biyinzika Poultry Industries (integrated); emerging private commercial operators. Cooperative smallholder integration: emerging cooperative layer networks across Central, Western, Eastern Uganda. Regulatory: Uganda DVS; UNBS.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Major operators: emerging cooperative-and-commercial layer operations across Eastern Province and Kigali peri-urban zones. Regulatory: Rwanda Standards Board.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Major operators: emerging cooperative-and-commercial operations. Regulatory: Burundi Bureau of Standards.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Layer commercial aggregation and processing infrastructure carries the structurally distinctive integrated commercial-development trajectory anchored by Kenchic (Kenya) and emerging regional operators (Ugachick and Biyinzika Uganda; Interchick and AKM Glitters Tanzania). The structural domestic-and-regional commercial-development focus and emerging cooperative smallholder layer commercial integration together define the regional layer commercial-development priority structure.</w:t>
      </w:r>
    </w:p>
    <w:p>
      <w:pPr>
        <w:spacing w:after="120" w:line="300"/>
      </w:pPr>
      <w:r>
        <w:rPr>
          <w:rFonts w:ascii="Calibri" w:cs="Calibri" w:eastAsia="Calibri" w:hAnsi="Calibri"/>
          <w:color w:val="1B1B1B"/>
          <w:sz w:val="22"/>
          <w:szCs w:val="22"/>
        </w:rPr>
        <w:t xml:space="preserve">For smallholder layer producers, the actionable rule is cooperative aggregator development with structured DOC-and-feed-and-veterinary-and-quality-graded supply protocol adherence. For commercial operators and impact investors, scaling cooperative smallholder layer commercial integration, premium retail brand expansion, and emerging egg processing capacity represents one of the strongest available regional layer industry commercial-development opportunities. For governments, supporting cooperative-layer organisational frameworks, Avian Influenza surveillance infrastructure, EAC-and-COMESA cross-border egg trade frameworks, and emerging layer regulatory infrastructure anchors the regional public-sector contribution.</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DOMAIN 07</w:t>
            </w:r>
          </w:p>
          <w:p>
            <w:pPr>
              <w:spacing w:after="40"/>
            </w:pPr>
            <w:r>
              <w:rPr>
                <w:rFonts w:ascii="Calibri" w:cs="Calibri" w:eastAsia="Calibri" w:hAnsi="Calibri"/>
                <w:b/>
                <w:bCs/>
                <w:color w:val="FFFFFF"/>
                <w:sz w:val="36"/>
                <w:szCs w:val="36"/>
              </w:rPr>
              <w:t xml:space="preserve">Specialty &amp; Value-Add</w:t>
            </w:r>
          </w:p>
          <w:p>
            <w:r>
              <w:rPr>
                <w:rFonts w:ascii="Calibri" w:cs="Calibri" w:eastAsia="Calibri" w:hAnsi="Calibri"/>
                <w:i/>
                <w:iCs/>
                <w:color w:val="FFFFFF"/>
                <w:sz w:val="20"/>
                <w:szCs w:val="20"/>
              </w:rPr>
              <w:t xml:space="preserve">Premium retail  •  Free-range  •  Omega-3  •  Spent-hen and by-products</w:t>
            </w:r>
            <w:r>
              <w:rPr>
                <w:rFonts w:ascii="Calibri" w:cs="Calibri" w:eastAsia="Calibri" w:hAnsi="Calibri"/>
                <w:color w:val="FFFFFF"/>
                <w:sz w:val="20"/>
                <w:szCs w:val="20"/>
              </w:rPr>
              <w:t xml:space="preserve">   •   Bidhaa za thamani (Sw)  •  Premium-retail-and-niche commercial trajectory</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VALUE-ADD CHANNELS</w:t>
            </w:r>
          </w:p>
          <w:p>
            <w:r>
              <w:rPr>
                <w:rFonts w:ascii="Calibri" w:cs="Calibri" w:eastAsia="Calibri" w:hAnsi="Calibri"/>
                <w:color w:val="1B1B1B"/>
                <w:sz w:val="20"/>
                <w:szCs w:val="20"/>
              </w:rPr>
              <w:t xml:space="preserve">Premium retail; free-range; organic; omega-3-enriched; specialty (quail, duck); spent-hen meat; by-products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PREMIUM PRICING</w:t>
            </w:r>
          </w:p>
          <w:p>
            <w:r>
              <w:rPr>
                <w:rFonts w:ascii="Calibri" w:cs="Calibri" w:eastAsia="Calibri" w:hAnsi="Calibri"/>
                <w:color w:val="1B1B1B"/>
                <w:sz w:val="20"/>
                <w:szCs w:val="20"/>
              </w:rPr>
              <w:t xml:space="preserve">Premium retail typically 30–80% over commodity; specialty omega-3-and-organic 50–150%</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REFERENCE OPERATORS</w:t>
            </w:r>
          </w:p>
          <w:p>
            <w:r>
              <w:rPr>
                <w:rFonts w:ascii="Calibri" w:cs="Calibri" w:eastAsia="Calibri" w:hAnsi="Calibri"/>
                <w:color w:val="1B1B1B"/>
                <w:sz w:val="20"/>
                <w:szCs w:val="20"/>
              </w:rPr>
              <w:t xml:space="preserve">Kenchic premium portfolio; emerging regional premium operators; emerging artisan operators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Region-wide — urban premium retail growth; structural domestic-and-regional commercial trajectory</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Specialty and value-add layer operations represent the regional commercial-development trajectory beyond commodity egg baseline. Six value-add channel categories shape regional commercial picture: premium retail eggs (the urban-supermarket-and-premium-butcher channel with 30–80% premium over commodity baseline); free-range and pasture-raised eggs (emerging structural premium-niche channel); organic eggs (emerging certified premium specialty); omega-3-enriched eggs (emerging functional-food-niche operations); specialty bird products (quail eggs, duck eggs, emerging niche premium retail); spent-hen meat (the structural by-product value chain from end-of-cycle commercial layer hens); and by-products generally (eggshell calcium, egg-tray manufacturing).</w:t>
      </w:r>
    </w:p>
    <w:p>
      <w:pPr>
        <w:spacing w:after="120" w:line="300"/>
      </w:pPr>
      <w:r>
        <w:rPr>
          <w:rFonts w:ascii="Calibri" w:cs="Calibri" w:eastAsia="Calibri" w:hAnsi="Calibri"/>
          <w:color w:val="1B1B1B"/>
          <w:sz w:val="22"/>
          <w:szCs w:val="22"/>
        </w:rPr>
        <w:t xml:space="preserve">The specialty-and-value-add commercial trajectory has expanded significantly through 2024–2026 alongside regional supermarket-and-food-service integration and emerging premium retail commercial-development. Major regional operators include Kenchic premium portfolio (the structural Kenyan reference); emerging Tanzanian, Ugandan, Rwandan operators; specialty butcher-and-charcuterie operators across regional urban centres. Spent-hen meat (structural commercial-layer end-of-cycle by-product) is significant volume value-add channel with emerging cooperative aggregator commercial integration and structural cultural-and-food-service market integration.</w:t>
      </w:r>
    </w:p>
    <w:p>
      <w:pPr>
        <w:pStyle w:val="Heading3"/>
        <w:spacing w:after="60" w:before="160"/>
      </w:pPr>
      <w:r>
        <w:rPr>
          <w:rFonts w:ascii="Calibri" w:cs="Calibri" w:eastAsia="Calibri" w:hAnsi="Calibri"/>
          <w:b/>
          <w:bCs/>
          <w:color w:val="1B1B1B"/>
          <w:sz w:val="23"/>
          <w:szCs w:val="23"/>
        </w:rPr>
        <w:t xml:space="preserve">The current landscape</w:t>
      </w:r>
    </w:p>
    <w:p>
      <w:pPr>
        <w:pStyle w:val="ListParagraph"/>
        <w:numPr>
          <w:ilvl w:val="0"/>
          <w:numId w:val="2"/>
        </w:numPr>
        <w:spacing w:after="80" w:line="290"/>
      </w:pPr>
      <w:r>
        <w:rPr>
          <w:rFonts w:ascii="Calibri" w:cs="Calibri" w:eastAsia="Calibri" w:hAnsi="Calibri"/>
          <w:b/>
          <w:bCs/>
          <w:color w:val="1B1B1B"/>
          <w:sz w:val="22"/>
          <w:szCs w:val="22"/>
        </w:rPr>
        <w:t xml:space="preserve">Premium retail eggs (the urban supermarket-and-butcher channel): </w:t>
      </w:r>
      <w:r>
        <w:rPr>
          <w:rFonts w:ascii="Calibri" w:cs="Calibri" w:eastAsia="Calibri" w:hAnsi="Calibri"/>
          <w:color w:val="1B1B1B"/>
          <w:sz w:val="22"/>
          <w:szCs w:val="22"/>
        </w:rPr>
        <w:t xml:space="preserve">Premium-graded fresh eggs through urban supermarket cool-storage shelves; specialty butcher operations; emerging restaurant-and-food-service premium supply; major regional operators emerging across Nairobi, Mombasa, Dar es Salaam, Arusha, Kampala, Kigali, Bujumbura premium retail expansion.</w:t>
      </w:r>
    </w:p>
    <w:p>
      <w:pPr>
        <w:pStyle w:val="ListParagraph"/>
        <w:numPr>
          <w:ilvl w:val="0"/>
          <w:numId w:val="2"/>
        </w:numPr>
        <w:spacing w:after="80" w:line="290"/>
      </w:pPr>
      <w:r>
        <w:rPr>
          <w:rFonts w:ascii="Calibri" w:cs="Calibri" w:eastAsia="Calibri" w:hAnsi="Calibri"/>
          <w:b/>
          <w:bCs/>
          <w:color w:val="1B1B1B"/>
          <w:sz w:val="22"/>
          <w:szCs w:val="22"/>
        </w:rPr>
        <w:t xml:space="preserve">Free-range and pasture-raised eggs (the emerging premium-niche channel): </w:t>
      </w:r>
      <w:r>
        <w:rPr>
          <w:rFonts w:ascii="Calibri" w:cs="Calibri" w:eastAsia="Calibri" w:hAnsi="Calibri"/>
          <w:color w:val="1B1B1B"/>
          <w:sz w:val="22"/>
          <w:szCs w:val="22"/>
        </w:rPr>
        <w:t xml:space="preserve">Free-range outdoor-access housing and emerging pasture-raised operations; emerging premium retail and restaurant-and-food-service supply; structural premium-pricing trajectory.</w:t>
      </w:r>
    </w:p>
    <w:p>
      <w:pPr>
        <w:pStyle w:val="ListParagraph"/>
        <w:numPr>
          <w:ilvl w:val="0"/>
          <w:numId w:val="2"/>
        </w:numPr>
        <w:spacing w:after="80" w:line="290"/>
      </w:pPr>
      <w:r>
        <w:rPr>
          <w:rFonts w:ascii="Calibri" w:cs="Calibri" w:eastAsia="Calibri" w:hAnsi="Calibri"/>
          <w:b/>
          <w:bCs/>
          <w:color w:val="1B1B1B"/>
          <w:sz w:val="22"/>
          <w:szCs w:val="22"/>
        </w:rPr>
        <w:t xml:space="preserve">Organic-certified eggs (emerging certified premium specialty): </w:t>
      </w:r>
      <w:r>
        <w:rPr>
          <w:rFonts w:ascii="Calibri" w:cs="Calibri" w:eastAsia="Calibri" w:hAnsi="Calibri"/>
          <w:color w:val="1B1B1B"/>
          <w:sz w:val="22"/>
          <w:szCs w:val="22"/>
        </w:rPr>
        <w:t xml:space="preserve">Organic-certified commercial layer operations with structural organic-feed-and-veterinary-and-management protocol adherence; emerging regional commercial-development reference; structural premium-pricing trajectory through urban premium retail.</w:t>
      </w:r>
    </w:p>
    <w:p>
      <w:pPr>
        <w:pStyle w:val="ListParagraph"/>
        <w:numPr>
          <w:ilvl w:val="0"/>
          <w:numId w:val="2"/>
        </w:numPr>
        <w:spacing w:after="80" w:line="290"/>
      </w:pPr>
      <w:r>
        <w:rPr>
          <w:rFonts w:ascii="Calibri" w:cs="Calibri" w:eastAsia="Calibri" w:hAnsi="Calibri"/>
          <w:b/>
          <w:bCs/>
          <w:color w:val="1B1B1B"/>
          <w:sz w:val="22"/>
          <w:szCs w:val="22"/>
        </w:rPr>
        <w:t xml:space="preserve">Omega-3-enriched eggs (emerging functional-food specialty): </w:t>
      </w:r>
      <w:r>
        <w:rPr>
          <w:rFonts w:ascii="Calibri" w:cs="Calibri" w:eastAsia="Calibri" w:hAnsi="Calibri"/>
          <w:color w:val="1B1B1B"/>
          <w:sz w:val="22"/>
          <w:szCs w:val="22"/>
        </w:rPr>
        <w:t xml:space="preserve">Omega-3-enriched commercial layer operations through flaxseed-and-fish-oil feed supplementation; emerging niche premium retail trajectory; structural functional-food commercial integration.</w:t>
      </w:r>
    </w:p>
    <w:p>
      <w:pPr>
        <w:pStyle w:val="ListParagraph"/>
        <w:numPr>
          <w:ilvl w:val="0"/>
          <w:numId w:val="2"/>
        </w:numPr>
        <w:spacing w:after="80" w:line="290"/>
      </w:pPr>
      <w:r>
        <w:rPr>
          <w:rFonts w:ascii="Calibri" w:cs="Calibri" w:eastAsia="Calibri" w:hAnsi="Calibri"/>
          <w:b/>
          <w:bCs/>
          <w:color w:val="1B1B1B"/>
          <w:sz w:val="22"/>
          <w:szCs w:val="22"/>
        </w:rPr>
        <w:t xml:space="preserve">Specialty bird products (quail, duck eggs): </w:t>
      </w:r>
      <w:r>
        <w:rPr>
          <w:rFonts w:ascii="Calibri" w:cs="Calibri" w:eastAsia="Calibri" w:hAnsi="Calibri"/>
          <w:color w:val="1B1B1B"/>
          <w:sz w:val="22"/>
          <w:szCs w:val="22"/>
        </w:rPr>
        <w:t xml:space="preserve">Quail egg commercial operations (significant in Kenya, emerging regional); duck egg specialty (limited regional commercial scale); emerging niche premium retail commercial-development trajectory.</w:t>
      </w:r>
    </w:p>
    <w:p>
      <w:pPr>
        <w:pStyle w:val="ListParagraph"/>
        <w:numPr>
          <w:ilvl w:val="0"/>
          <w:numId w:val="2"/>
        </w:numPr>
        <w:spacing w:after="80" w:line="290"/>
      </w:pPr>
      <w:r>
        <w:rPr>
          <w:rFonts w:ascii="Calibri" w:cs="Calibri" w:eastAsia="Calibri" w:hAnsi="Calibri"/>
          <w:b/>
          <w:bCs/>
          <w:color w:val="1B1B1B"/>
          <w:sz w:val="22"/>
          <w:szCs w:val="22"/>
        </w:rPr>
        <w:t xml:space="preserve">Spent-hen meat (the structural commercial-layer by-product): </w:t>
      </w:r>
      <w:r>
        <w:rPr>
          <w:rFonts w:ascii="Calibri" w:cs="Calibri" w:eastAsia="Calibri" w:hAnsi="Calibri"/>
          <w:color w:val="1B1B1B"/>
          <w:sz w:val="22"/>
          <w:szCs w:val="22"/>
        </w:rPr>
        <w:t xml:space="preserve">End-of-cycle commercial layer hens (typically 18-month-old hens from commercial cage-and-deep-litter operations); structural cultural-and-food-service market integration; significant regional volume value-add channel.</w:t>
      </w:r>
    </w:p>
    <w:p>
      <w:pPr>
        <w:pStyle w:val="ListParagraph"/>
        <w:numPr>
          <w:ilvl w:val="0"/>
          <w:numId w:val="2"/>
        </w:numPr>
        <w:spacing w:after="80" w:line="290"/>
      </w:pPr>
      <w:r>
        <w:rPr>
          <w:rFonts w:ascii="Calibri" w:cs="Calibri" w:eastAsia="Calibri" w:hAnsi="Calibri"/>
          <w:b/>
          <w:bCs/>
          <w:color w:val="1B1B1B"/>
          <w:sz w:val="22"/>
          <w:szCs w:val="22"/>
        </w:rPr>
        <w:t xml:space="preserve">Eggshell calcium and by-products: </w:t>
      </w:r>
      <w:r>
        <w:rPr>
          <w:rFonts w:ascii="Calibri" w:cs="Calibri" w:eastAsia="Calibri" w:hAnsi="Calibri"/>
          <w:color w:val="1B1B1B"/>
          <w:sz w:val="22"/>
          <w:szCs w:val="22"/>
        </w:rPr>
        <w:t xml:space="preserve">Eggshell calcium for animal-feed supplementation; emerging niche commercial integration; structural circular-economy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Egg processing (emerging niche): </w:t>
      </w:r>
      <w:r>
        <w:rPr>
          <w:rFonts w:ascii="Calibri" w:cs="Calibri" w:eastAsia="Calibri" w:hAnsi="Calibri"/>
          <w:color w:val="1B1B1B"/>
          <w:sz w:val="22"/>
          <w:szCs w:val="22"/>
        </w:rPr>
        <w:t xml:space="preserve">Liquid egg, dried egg, egg-powder processing for industrial-and-bakery-and-food-service supply; emerging niche commercial-development trajectory.</w:t>
      </w:r>
    </w:p>
    <w:p>
      <w:pPr>
        <w:pStyle w:val="Heading3"/>
        <w:spacing w:after="60" w:before="160"/>
      </w:pPr>
      <w:r>
        <w:rPr>
          <w:rFonts w:ascii="Calibri" w:cs="Calibri" w:eastAsia="Calibri" w:hAnsi="Calibri"/>
          <w:b/>
          <w:bCs/>
          <w:color w:val="1B1B1B"/>
          <w:sz w:val="23"/>
          <w:szCs w:val="23"/>
        </w:rPr>
        <w:t xml:space="preserve">The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Premium retail brand portfolio expansion across regional: </w:t>
      </w:r>
      <w:r>
        <w:rPr>
          <w:rFonts w:ascii="Calibri" w:cs="Calibri" w:eastAsia="Calibri" w:hAnsi="Calibri"/>
          <w:color w:val="1B1B1B"/>
          <w:sz w:val="22"/>
          <w:szCs w:val="22"/>
        </w:rPr>
        <w:t xml:space="preserve">Kenchic premium portfolio expansion; emerging Tanzanian, Ugandan, Rwandan, Burundian premium retail egg brands; significant trajectory through 2024–2026 urban supermarket integration.</w:t>
      </w:r>
    </w:p>
    <w:p>
      <w:pPr>
        <w:pStyle w:val="ListParagraph"/>
        <w:numPr>
          <w:ilvl w:val="0"/>
          <w:numId w:val="2"/>
        </w:numPr>
        <w:spacing w:after="80" w:line="290"/>
      </w:pPr>
      <w:r>
        <w:rPr>
          <w:rFonts w:ascii="Calibri" w:cs="Calibri" w:eastAsia="Calibri" w:hAnsi="Calibri"/>
          <w:b/>
          <w:bCs/>
          <w:color w:val="1B1B1B"/>
          <w:sz w:val="22"/>
          <w:szCs w:val="22"/>
        </w:rPr>
        <w:t xml:space="preserve">Free-range and organic commercial expansion: </w:t>
      </w:r>
      <w:r>
        <w:rPr>
          <w:rFonts w:ascii="Calibri" w:cs="Calibri" w:eastAsia="Calibri" w:hAnsi="Calibri"/>
          <w:color w:val="1B1B1B"/>
          <w:sz w:val="22"/>
          <w:szCs w:val="22"/>
        </w:rPr>
        <w:t xml:space="preserve">Emerging free-range and organic-certified commercial layer operations across regional; structural premium-pricing trajectory through urban premium retail-and-restaurant supply.</w:t>
      </w:r>
    </w:p>
    <w:p>
      <w:pPr>
        <w:pStyle w:val="ListParagraph"/>
        <w:numPr>
          <w:ilvl w:val="0"/>
          <w:numId w:val="2"/>
        </w:numPr>
        <w:spacing w:after="80" w:line="290"/>
      </w:pPr>
      <w:r>
        <w:rPr>
          <w:rFonts w:ascii="Calibri" w:cs="Calibri" w:eastAsia="Calibri" w:hAnsi="Calibri"/>
          <w:b/>
          <w:bCs/>
          <w:color w:val="1B1B1B"/>
          <w:sz w:val="22"/>
          <w:szCs w:val="22"/>
        </w:rPr>
        <w:t xml:space="preserve">Omega-3-enriched and functional-food commercial expansion: </w:t>
      </w:r>
      <w:r>
        <w:rPr>
          <w:rFonts w:ascii="Calibri" w:cs="Calibri" w:eastAsia="Calibri" w:hAnsi="Calibri"/>
          <w:color w:val="1B1B1B"/>
          <w:sz w:val="22"/>
          <w:szCs w:val="22"/>
        </w:rPr>
        <w:t xml:space="preserve">Emerging omega-3-enriched commercial layer operations; emerging functional-food egg commercial trajectory; structural niche premium-pricing reference.</w:t>
      </w:r>
    </w:p>
    <w:p>
      <w:pPr>
        <w:pStyle w:val="ListParagraph"/>
        <w:numPr>
          <w:ilvl w:val="0"/>
          <w:numId w:val="2"/>
        </w:numPr>
        <w:spacing w:after="80" w:line="290"/>
      </w:pPr>
      <w:r>
        <w:rPr>
          <w:rFonts w:ascii="Calibri" w:cs="Calibri" w:eastAsia="Calibri" w:hAnsi="Calibri"/>
          <w:b/>
          <w:bCs/>
          <w:color w:val="1B1B1B"/>
          <w:sz w:val="22"/>
          <w:szCs w:val="22"/>
        </w:rPr>
        <w:t xml:space="preserve">Spent-hen meat aggregation and commercial integration: </w:t>
      </w:r>
      <w:r>
        <w:rPr>
          <w:rFonts w:ascii="Calibri" w:cs="Calibri" w:eastAsia="Calibri" w:hAnsi="Calibri"/>
          <w:color w:val="1B1B1B"/>
          <w:sz w:val="22"/>
          <w:szCs w:val="22"/>
        </w:rPr>
        <w:t xml:space="preserve">Emerging cooperative-and-commercial spent-hen meat aggregation infrastructure; structural cultural-and-food-service market commercial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bird products (quail, duck) commercial expansion: </w:t>
      </w:r>
      <w:r>
        <w:rPr>
          <w:rFonts w:ascii="Calibri" w:cs="Calibri" w:eastAsia="Calibri" w:hAnsi="Calibri"/>
          <w:color w:val="1B1B1B"/>
          <w:sz w:val="22"/>
          <w:szCs w:val="22"/>
        </w:rPr>
        <w:t xml:space="preserve">Emerging quail-egg-and-duck-egg specialty commercial operations; significant urban premium retail trajectory.</w:t>
      </w:r>
    </w:p>
    <w:p>
      <w:pPr>
        <w:pStyle w:val="ListParagraph"/>
        <w:numPr>
          <w:ilvl w:val="0"/>
          <w:numId w:val="2"/>
        </w:numPr>
        <w:spacing w:after="80" w:line="290"/>
      </w:pPr>
      <w:r>
        <w:rPr>
          <w:rFonts w:ascii="Calibri" w:cs="Calibri" w:eastAsia="Calibri" w:hAnsi="Calibri"/>
          <w:b/>
          <w:bCs/>
          <w:color w:val="1B1B1B"/>
          <w:sz w:val="22"/>
          <w:szCs w:val="22"/>
        </w:rPr>
        <w:t xml:space="preserve">Egg processing capacity scale-up (emerging): </w:t>
      </w:r>
      <w:r>
        <w:rPr>
          <w:rFonts w:ascii="Calibri" w:cs="Calibri" w:eastAsia="Calibri" w:hAnsi="Calibri"/>
          <w:color w:val="1B1B1B"/>
          <w:sz w:val="22"/>
          <w:szCs w:val="22"/>
        </w:rPr>
        <w:t xml:space="preserve">Liquid-egg-and-dried-egg-and-egg-powder processing capacity expansion; emerging structural commercial-development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egg brands; emerging artisan-egg specialty operations; emerging pickled-and-preserved-egg specialty (kachumbari-style emerging premium retail); emerging quail-egg specialty restaurant-and-food-service supply.</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Premium retail certification: HACCP and ISO 22000 for premium operations; emerging organic certification; emerging free-range and pasture-raised certification.</w:t>
      </w:r>
    </w:p>
    <w:p>
      <w:pPr>
        <w:pStyle w:val="ListParagraph"/>
        <w:numPr>
          <w:ilvl w:val="0"/>
          <w:numId w:val="2"/>
        </w:numPr>
        <w:spacing w:after="80" w:line="290"/>
      </w:pPr>
      <w:r>
        <w:rPr>
          <w:rFonts w:ascii="Calibri" w:cs="Calibri" w:eastAsia="Calibri" w:hAnsi="Calibri"/>
          <w:color w:val="1B1B1B"/>
          <w:sz w:val="22"/>
          <w:szCs w:val="22"/>
        </w:rPr>
        <w:t xml:space="preserve">Free-range certification: structural minimum outdoor-access requirement protocols; emerging regional regulatory frameworks.</w:t>
      </w:r>
    </w:p>
    <w:p>
      <w:pPr>
        <w:pStyle w:val="ListParagraph"/>
        <w:numPr>
          <w:ilvl w:val="0"/>
          <w:numId w:val="2"/>
        </w:numPr>
        <w:spacing w:after="80" w:line="290"/>
      </w:pPr>
      <w:r>
        <w:rPr>
          <w:rFonts w:ascii="Calibri" w:cs="Calibri" w:eastAsia="Calibri" w:hAnsi="Calibri"/>
          <w:color w:val="1B1B1B"/>
          <w:sz w:val="22"/>
          <w:szCs w:val="22"/>
        </w:rPr>
        <w:t xml:space="preserve">Organic certification: structural organic feed-and-veterinary-and-management protocols; emerging regional certification authority infrastructure.</w:t>
      </w:r>
    </w:p>
    <w:p>
      <w:pPr>
        <w:pStyle w:val="ListParagraph"/>
        <w:numPr>
          <w:ilvl w:val="0"/>
          <w:numId w:val="2"/>
        </w:numPr>
        <w:spacing w:after="80" w:line="290"/>
      </w:pPr>
      <w:r>
        <w:rPr>
          <w:rFonts w:ascii="Calibri" w:cs="Calibri" w:eastAsia="Calibri" w:hAnsi="Calibri"/>
          <w:color w:val="1B1B1B"/>
          <w:sz w:val="22"/>
          <w:szCs w:val="22"/>
        </w:rPr>
        <w:t xml:space="preserve">Omega-3 enrichment: structural functional-food regulatory frameworks; emerging regional regulatory recognition.</w:t>
      </w:r>
    </w:p>
    <w:p>
      <w:pPr>
        <w:pStyle w:val="ListParagraph"/>
        <w:numPr>
          <w:ilvl w:val="0"/>
          <w:numId w:val="2"/>
        </w:numPr>
        <w:spacing w:after="80" w:line="290"/>
      </w:pPr>
      <w:r>
        <w:rPr>
          <w:rFonts w:ascii="Calibri" w:cs="Calibri" w:eastAsia="Calibri" w:hAnsi="Calibri"/>
          <w:color w:val="1B1B1B"/>
          <w:sz w:val="22"/>
          <w:szCs w:val="22"/>
        </w:rPr>
        <w:t xml:space="preserve">Egg processing: emerging regional regulatory frameworks for liquid-egg-and-dried-egg operations; structural HACCP-aligned commercial protocols.</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HACCP and ISO 22000 for premium operators; organic certification for premium specialty operations.</w:t>
      </w:r>
    </w:p>
    <w:p>
      <w:pPr>
        <w:pStyle w:val="Heading3"/>
        <w:spacing w:after="60" w:before="160"/>
      </w:pPr>
      <w:r>
        <w:rPr>
          <w:rFonts w:ascii="Calibri" w:cs="Calibri" w:eastAsia="Calibri" w:hAnsi="Calibri"/>
          <w:b/>
          <w:bCs/>
          <w:color w:val="1B1B1B"/>
          <w:sz w:val="23"/>
          <w:szCs w:val="23"/>
        </w:rPr>
        <w:t xml:space="preserve">Reference operators and service providers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Major operators: Kenchic Limited (premium portfolio); emerging private commercial layer operators with premium retail integration; emerging organic-and-free-range commercial operators. Specialty bird operations: emerging quail-egg specialty operators in Mt Kenya and Nairobi peri-urban zones.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Major operators: Interchick Tanzania; AKM Glitters; AGCOT-cluster-affiliated emerging premium operations; emerging private commercial operators with premium retail integration.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Major operators: Ugachick Poultry Breeders premium portfolio; Biyinzika Poultry premium portfolio; emerging private commercial layer operators with premium retail integration.</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Major operators: emerging cooperative-and-commercial layer operations with emerging premium retail integration.</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Major operators: emerging cooperative-and-commercial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Specialty and value-add layer operations are the regional commercial-development trajectory beyond commodity egg baseline. The Kenchic premium portfolio anchors Kenyan and emerging regional reference; emerging free-range, organic, omega-3-enriched, and specialty bird (quail, duck) commercial expansion provides niche premium-retail trajectory; spent-hen meat provides structural commercial-layer by-product value chain.</w:t>
      </w:r>
    </w:p>
    <w:p>
      <w:pPr>
        <w:spacing w:after="120" w:line="300"/>
      </w:pPr>
      <w:r>
        <w:rPr>
          <w:rFonts w:ascii="Calibri" w:cs="Calibri" w:eastAsia="Calibri" w:hAnsi="Calibri"/>
          <w:color w:val="1B1B1B"/>
          <w:sz w:val="22"/>
          <w:szCs w:val="22"/>
        </w:rPr>
        <w:t xml:space="preserve">For commercial operators and impact investors, scaling premium retail brand expansion, free-range and organic commercial operations, omega-3-enriched specialty operations, and emerging specialty bird operations represents the regional layer industry premium-retail commercial-development trajectory. For smallholder commercial integration, participation in cooperative-affiliated quality-graded production with structural premium-pricing access through cooperative-aggregator-and-processor-and-premium-retail networks. For governments, supporting emerging premium specialty regulatory frameworks (organic, free-range, omega-3 functional-food) and Avian Influenza surveillance-and-response infrastructure anchors the regional public-sector contribution.</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Build emerging regional hatchery-and-DOC supply infrastructure across regional. </w:t>
      </w:r>
      <w:r>
        <w:rPr>
          <w:rFonts w:ascii="Calibri" w:cs="Calibri" w:eastAsia="Calibri" w:hAnsi="Calibri"/>
          <w:color w:val="1B1B1B"/>
          <w:sz w:val="22"/>
          <w:szCs w:val="22"/>
        </w:rPr>
        <w:t xml:space="preserve">Day-old chick (DOC) supply chain reliability is the structural commercial layer industry input bottleneck. Investment in regional hatchery-and-DOC supply infrastructure expansion paralleling Kenchic Kenya (Ugachick and Biyinzika Uganda, Interchick and AKM Glitters Tanzania, emerging Rwandan-and-Burundian operators) anchors the regional commercial layer industry commercial-development trajectory.</w:t>
      </w:r>
    </w:p>
    <w:p>
      <w:pPr>
        <w:pStyle w:val="ListParagraph"/>
        <w:numPr>
          <w:ilvl w:val="0"/>
          <w:numId w:val="2"/>
        </w:numPr>
        <w:spacing w:after="80" w:line="290"/>
      </w:pPr>
      <w:r>
        <w:rPr>
          <w:rFonts w:ascii="Calibri" w:cs="Calibri" w:eastAsia="Calibri" w:hAnsi="Calibri"/>
          <w:b/>
          <w:bCs/>
          <w:color w:val="2E7D32"/>
          <w:sz w:val="22"/>
          <w:szCs w:val="22"/>
        </w:rPr>
        <w:t xml:space="preserve">Scale cooperative smallholder layer commercial integration. </w:t>
      </w:r>
      <w:r>
        <w:rPr>
          <w:rFonts w:ascii="Calibri" w:cs="Calibri" w:eastAsia="Calibri" w:hAnsi="Calibri"/>
          <w:color w:val="1B1B1B"/>
          <w:sz w:val="22"/>
          <w:szCs w:val="22"/>
        </w:rPr>
        <w:t xml:space="preserve">Cooperative smallholder layer aggregator infrastructure linking DOC-and-feed-and-veterinary-and-egg-aggregation-and-buyer services to smallholder layer households addresses the structural smallholder commercial-grade-access gap; emerging regional cooperative smallholder layer commercial-development pilots represent one of the strongest available regional layer-industry commercial-development opportunities.</w:t>
      </w:r>
    </w:p>
    <w:p>
      <w:pPr>
        <w:pStyle w:val="ListParagraph"/>
        <w:numPr>
          <w:ilvl w:val="0"/>
          <w:numId w:val="2"/>
        </w:numPr>
        <w:spacing w:after="80" w:line="290"/>
      </w:pPr>
      <w:r>
        <w:rPr>
          <w:rFonts w:ascii="Calibri" w:cs="Calibri" w:eastAsia="Calibri" w:hAnsi="Calibri"/>
          <w:b/>
          <w:bCs/>
          <w:color w:val="2E7D32"/>
          <w:sz w:val="22"/>
          <w:szCs w:val="22"/>
        </w:rPr>
        <w:t xml:space="preserve">Anchor structural Newcastle Disease vaccination discipline across smallholder-and-commercial layer industry. </w:t>
      </w:r>
      <w:r>
        <w:rPr>
          <w:rFonts w:ascii="Calibri" w:cs="Calibri" w:eastAsia="Calibri" w:hAnsi="Calibri"/>
          <w:color w:val="1B1B1B"/>
          <w:sz w:val="22"/>
          <w:szCs w:val="22"/>
        </w:rPr>
        <w:t xml:space="preserve">Newcastle Disease is the structural regional flagship poultry disease with structural mortality 30–80%+ in unprotected flocks. Cooperative-and-extension-supported smallholder Newcastle vaccination programmes through i2-strain thermostable vaccines and Lasota-strain vaccines address the structural smallholder vaccination access challenge.</w:t>
      </w:r>
    </w:p>
    <w:p>
      <w:pPr>
        <w:pStyle w:val="ListParagraph"/>
        <w:numPr>
          <w:ilvl w:val="0"/>
          <w:numId w:val="2"/>
        </w:numPr>
        <w:spacing w:after="80" w:line="290"/>
      </w:pPr>
      <w:r>
        <w:rPr>
          <w:rFonts w:ascii="Calibri" w:cs="Calibri" w:eastAsia="Calibri" w:hAnsi="Calibri"/>
          <w:b/>
          <w:bCs/>
          <w:color w:val="2E7D32"/>
          <w:sz w:val="22"/>
          <w:szCs w:val="22"/>
        </w:rPr>
        <w:t xml:space="preserve">Build emerging Avian Influenza surveillance-and-response infrastructure. </w:t>
      </w:r>
      <w:r>
        <w:rPr>
          <w:rFonts w:ascii="Calibri" w:cs="Calibri" w:eastAsia="Calibri" w:hAnsi="Calibri"/>
          <w:color w:val="1B1B1B"/>
          <w:sz w:val="22"/>
          <w:szCs w:val="22"/>
        </w:rPr>
        <w:t xml:space="preserve">Avian Influenza is the structural emerging global-trade-restricting disease threat for regional poultry industry. Investment in emerging regional Avian Influenza surveillance-and-response infrastructure through DVS-equivalent regulatory authorities anchors the regional poultry-industry productivity-protection-and-export-access commercial-development trajectory.</w:t>
      </w:r>
    </w:p>
    <w:p>
      <w:pPr>
        <w:pStyle w:val="ListParagraph"/>
        <w:numPr>
          <w:ilvl w:val="0"/>
          <w:numId w:val="2"/>
        </w:numPr>
        <w:spacing w:after="80" w:line="290"/>
      </w:pPr>
      <w:r>
        <w:rPr>
          <w:rFonts w:ascii="Calibri" w:cs="Calibri" w:eastAsia="Calibri" w:hAnsi="Calibri"/>
          <w:b/>
          <w:bCs/>
          <w:color w:val="2E7D32"/>
          <w:sz w:val="22"/>
          <w:szCs w:val="22"/>
        </w:rPr>
        <w:t xml:space="preserve">Develop emerging specialty value-add operations (free-range, organic, omega-3-enriched). </w:t>
      </w:r>
      <w:r>
        <w:rPr>
          <w:rFonts w:ascii="Calibri" w:cs="Calibri" w:eastAsia="Calibri" w:hAnsi="Calibri"/>
          <w:color w:val="1B1B1B"/>
          <w:sz w:val="22"/>
          <w:szCs w:val="22"/>
        </w:rPr>
        <w:t xml:space="preserve">Premium retail eggs, free-range and organic commercial operations, omega-3-enriched functional-food specialty, and emerging specialty bird (quail, duck) operations represent the regional layer-industry premium-retail commercial-development trajectory. Investment in emerging niche premium-retail commercial-development represents the regional layer-industry premium-trajectory.</w:t>
      </w:r>
    </w:p>
    <w:p>
      <w:pPr>
        <w:pStyle w:val="ListParagraph"/>
        <w:numPr>
          <w:ilvl w:val="0"/>
          <w:numId w:val="2"/>
        </w:numPr>
        <w:spacing w:after="80" w:line="290"/>
      </w:pPr>
      <w:r>
        <w:rPr>
          <w:rFonts w:ascii="Calibri" w:cs="Calibri" w:eastAsia="Calibri" w:hAnsi="Calibri"/>
          <w:b/>
          <w:bCs/>
          <w:color w:val="2E7D32"/>
          <w:sz w:val="22"/>
          <w:szCs w:val="22"/>
        </w:rPr>
        <w:t xml:space="preserve">Build emerging EAC-and-COMESA cross-border egg trade infrastructure. </w:t>
      </w:r>
      <w:r>
        <w:rPr>
          <w:rFonts w:ascii="Calibri" w:cs="Calibri" w:eastAsia="Calibri" w:hAnsi="Calibri"/>
          <w:color w:val="1B1B1B"/>
          <w:sz w:val="22"/>
          <w:szCs w:val="22"/>
        </w:rPr>
        <w:t xml:space="preserve">Given structural egg fragility-and-shelf-life-and-Avian-Influenza export limitations, regional egg commercial-development is principally domestic-and-regional focused. Emerging EAC-and-COMESA cross-border egg trade through regional regulatory framework development represents the structural emerging regional commercial trajectory.</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fifth of fourteen planned in the Kilimokwanza Livestock, Fisheries &amp; Apiculture Series. Layer industry infrastructure, equipment availability, processor commercial structures, regulatory standards (particularly emerging Avian Influenza surveillance protocols and cooperative smallholder layer commercial-integration pilots), and emerging premium retail and specialty operations all evolve year-by-year. Corrections, updates, and contemporary commercial-pilot information from extension officers, hatcheries, processors, exporters, cooperatives and producers are welcomed at editor@kilimokwanza.org.</w:t>
      </w:r>
    </w:p>
    <w:p>
      <w:pPr>
        <w:spacing w:after="120" w:line="300"/>
      </w:pPr>
      <w:r>
        <w:rPr>
          <w:rFonts w:ascii="Calibri" w:cs="Calibri" w:eastAsia="Calibri" w:hAnsi="Calibri"/>
          <w:color w:val="1B1B1B"/>
          <w:sz w:val="22"/>
          <w:szCs w:val="22"/>
        </w:rPr>
        <w:t xml:space="preserve">Coming next — Issue 6 • Broilers (commercial meat-chicken production): Cobb 500, Ross 308, Hubbard imported commercial broiler hybrids; Kenchic-and-equivalent integrated broiler operations; emerging Tanzanian, Ugandan, Rwandan commercial broiler operations; structural Newcastle Disease, Avian Influenza, Infectious Bronchitis veterinary discipline (paralleling layers); structural broiler-meat cold-chain and supermarket-and-restaurant supply commercial-development reference; emerging cooperative smallholder broiler aggregator commercial trajectory.</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Layers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Livestock-Fisheries-Apiculture / Issue 5  •  2026  •  Layers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Livestock, Fisheries &amp; Apiculture Series / Issue 5 — Layers</dc:title>
  <dc:creator>Kilimokwanza.org</dc:creator>
  <dc:description>A deep-dive audit of regional commercial layer-hen and egg-production operations across breeds &amp; genetics, production systems, feed &amp; nutrition, veterinary services, egg quality &amp; cold chain, commercial aggregation &amp; processing, and specialty &amp; value-add domains.</dc:description>
  <cp:lastModifiedBy>Un-named</cp:lastModifiedBy>
  <cp:revision>1</cp:revision>
  <dcterms:created xsi:type="dcterms:W3CDTF">2026-05-03T19:40:55.658Z</dcterms:created>
  <dcterms:modified xsi:type="dcterms:W3CDTF">2026-05-03T19:40:55.674Z</dcterms:modified>
</cp:coreProperties>
</file>

<file path=docProps/custom.xml><?xml version="1.0" encoding="utf-8"?>
<Properties xmlns="http://schemas.openxmlformats.org/officeDocument/2006/custom-properties" xmlns:vt="http://schemas.openxmlformats.org/officeDocument/2006/docPropsVTypes"/>
</file>