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320"/>
              <w:left w:type="dxa" w:w="280"/>
              <w:bottom w:type="dxa" w:w="320"/>
              <w:right w:type="dxa" w:w="280"/>
            </w:tcMar>
          </w:tcPr>
          <w:p>
            <w:pPr>
              <w:spacing w:after="60"/>
            </w:pPr>
            <w:r>
              <w:rPr>
                <w:rFonts w:ascii="Calibri" w:cs="Calibri" w:eastAsia="Calibri" w:hAnsi="Calibri"/>
                <w:b/>
                <w:bCs/>
                <w:color w:val="FFFFFF"/>
                <w:spacing w:val="40"/>
                <w:sz w:val="18"/>
                <w:szCs w:val="18"/>
              </w:rPr>
              <w:t xml:space="preserve">LIVESTOCK, FISHERIES &amp; APICULTURE SERIES  /  ISSUE 4  •  2026</w:t>
            </w:r>
          </w:p>
          <w:p>
            <w:pPr>
              <w:spacing w:after="80"/>
            </w:pPr>
            <w:r>
              <w:rPr>
                <w:rFonts w:ascii="Calibri" w:cs="Calibri" w:eastAsia="Calibri" w:hAnsi="Calibri"/>
                <w:b/>
                <w:bCs/>
                <w:color w:val="FFFFFF"/>
                <w:sz w:val="38"/>
                <w:szCs w:val="38"/>
              </w:rPr>
              <w:t xml:space="preserve">Pigs</w:t>
            </w:r>
          </w:p>
          <w:p>
            <w:r>
              <w:rPr>
                <w:rFonts w:ascii="Calibri" w:cs="Calibri" w:eastAsia="Calibri" w:hAnsi="Calibri"/>
                <w:i/>
                <w:iCs/>
                <w:color w:val="FFFFFF"/>
                <w:sz w:val="24"/>
                <w:szCs w:val="24"/>
              </w:rPr>
              <w:t xml:space="preserve">The Farmer’s Choice-anchored Kenyan industry, the African Swine Fever discipline that structurally shapes regional pig commercial-development, and the emerging Ugandan smallholder pig commercial-integration trajectory — the fourth instalment of the Series</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Domains covered: Breeds &amp; Genetics; Production Systems; Feed &amp; Nutrition; Veterinary Services &amp; Animal Health; Slaughter, Carcass Quality &amp; Cold Chain; Commercial Aggregation &amp; Processing; Specialty &amp; Value-Add</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introduction</w:t>
      </w:r>
    </w:p>
    <w:p>
      <w:pPr>
        <w:spacing w:after="120" w:line="300"/>
      </w:pPr>
      <w:r>
        <w:rPr>
          <w:rFonts w:ascii="Calibri" w:cs="Calibri" w:eastAsia="Calibri" w:hAnsi="Calibri"/>
          <w:color w:val="1B1B1B"/>
          <w:sz w:val="22"/>
          <w:szCs w:val="22"/>
        </w:rPr>
        <w:t xml:space="preserve">This Issue is the fourth instalment of the Kilimokwanza Livestock, Fisheries &amp; Apiculture Series — covering pigs as a structurally distinctive regional pig industry with commercial-development picture differentiated from the cattle-and-small-ruminant-and-poultry categories. Where Issues 1–3 anchored the regional ruminant-livestock commercial-development trajectories with structural emerging Halal-export channels (cattle, small-ruminants) or structural cooperative-aggregator-and-processor reference patterns (dairy, beef, small-ruminants), Issue 4 (Pigs) anchors a structurally distinctive commercial-development picture: the African Swine Fever (ASF) discipline that shapes all regional pig industry decisions, the structural Halal-export non-applicability that channels commercial-development into domestic-and-regional markets, and the Farmer’s Choice-anchored Kenyan industry-and-emerging-regional-operator commercial-development reference.</w:t>
      </w:r>
    </w:p>
    <w:p>
      <w:pPr>
        <w:spacing w:after="120" w:line="300"/>
      </w:pPr>
      <w:r>
        <w:rPr>
          <w:rFonts w:ascii="Calibri" w:cs="Calibri" w:eastAsia="Calibri" w:hAnsi="Calibri"/>
          <w:color w:val="1B1B1B"/>
          <w:sz w:val="22"/>
          <w:szCs w:val="22"/>
        </w:rPr>
        <w:t xml:space="preserve">This Issue covers pigs through the same seven anchor domains established in Issues 1–3: breeds and genetics (the imported-breed-and-three-way-commercial-cross productivity-and-quality foundation); production systems (smallholder backyard, semi-intensive, commercial intensive, integrated industrial); feed and nutrition (with the structurally distinctive monogastric high-feed-cost vector); veterinary services and animal health (with ASF biosecurity discipline as structural foundational vector); slaughter, carcass quality and cold chain (the commercial-grade access vector); commercial aggregation and processing (the Farmer’s Choice-anchored regional reference); and specialty and value-add (bacon, ham, sausages, premium retail).</w:t>
      </w:r>
    </w:p>
    <w:p>
      <w:pPr>
        <w:spacing w:after="120" w:line="300"/>
      </w:pPr>
      <w:r>
        <w:rPr>
          <w:rFonts w:ascii="Calibri" w:cs="Calibri" w:eastAsia="Calibri" w:hAnsi="Calibri"/>
          <w:color w:val="1B1B1B"/>
          <w:sz w:val="22"/>
          <w:szCs w:val="22"/>
        </w:rPr>
        <w:t xml:space="preserve">Three structural through-lines connect the seven domains and distinguish pigs from previous Issues. First, the African Swine Fever (ASF) discipline is structurally defining for the regional pig industry — ASF carries 100% mortality, no commercial vaccine, and structural endemicity in regional swine populations driving structural biosecurity discipline that shapes all operational and commercial decisions. Second, the regional pig industry commercial-development trajectory is structurally domestic-and-regional-EAC-and-COMESA focused — unlike cattle and small-ruminants where Halal-export to Middle East provides emerging structural international reference, regional pork commercial-development is structurally limited by both ASF-status international trade restrictions and Halal-market non-applicability. Third, the Farmer’s Choice-anchored Kenyan industry provides the regional pig industry commercial-development reference, with emerging Tanzanian, Ugandan, Rwandan, Burundian commercial operators paralleling the structural Farmer’s Choice integrated production-and-aggregation-and-processing-and-retail commercial-development model.</w:t>
      </w:r>
    </w:p>
    <w:p>
      <w:r>
        <w:t xml:space="preserve"/>
      </w:r>
    </w:p>
    <w:p>
      <w:pPr>
        <w:pStyle w:val="Heading2"/>
        <w:spacing w:after="100" w:before="220"/>
      </w:pPr>
      <w:r>
        <w:rPr>
          <w:rFonts w:ascii="Calibri" w:cs="Calibri" w:eastAsia="Calibri" w:hAnsi="Calibri"/>
          <w:b/>
          <w:bCs/>
          <w:color w:val="2E7D32"/>
          <w:sz w:val="26"/>
          <w:szCs w:val="26"/>
        </w:rPr>
        <w:t xml:space="preserve">The eight regional pig breeds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620"/>
        <w:gridCol w:w="1740"/>
      </w:tblGrid>
      <w:tr>
        <w:trPr>
          <w:tblHeader/>
        </w:trPr>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Breed</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Type</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Mature weight</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Litter size</w:t>
            </w:r>
          </w:p>
        </w:tc>
        <w:tc>
          <w:tcPr>
            <w:tcW w:type="dxa" w:w="162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Adaptation</w:t>
            </w:r>
          </w:p>
        </w:tc>
        <w:tc>
          <w:tcPr>
            <w:tcW w:type="dxa" w:w="174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Regional role</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Large White</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Imported maternal-line</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250–350 kg sow</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10–12 piglets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Cool-and-temperate</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Regional commercial flagship</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Landrace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Imported maternal-line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220–300 kg sow</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10–12 piglets</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Cool-and-temperate</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Secondary maternal-line</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Duroc</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Imported terminal-sire</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300–400 kg boar</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9–11 piglets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Tropical-adaptable</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Terminal-sire reference</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Hampshire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Imported terminal-sire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250–350 kg</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9–11 piglets</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Adaptable</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Alternative terminal-sire</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Pietrain</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Imported terminal-sire premium</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200–300 kg</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8–10 piglets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Cool-temperate</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Premium terminal-sire</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Berkshire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Imported heritage premium</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200–300 kg</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8–10 piglets</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Adaptable</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Premium specialty</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LW × Landrace × Duroc</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3-way commercial cross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180–300 kg market pig</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10–12 piglets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Adaptable + finishing</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Regional commercial reference</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Indigenous African pig</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Indigenous baseline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80–150 kg</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6–8 piglets</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Drought-and-disease tolerant</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Smallholder baseline</w:t>
            </w:r>
          </w:p>
        </w:tc>
      </w:tr>
    </w:tbl>
    <w:p>
      <w:r>
        <w:t xml:space="preserve"/>
      </w:r>
    </w:p>
    <w:p>
      <w:pPr>
        <w:spacing w:after="120" w:line="300"/>
      </w:pPr>
      <w:r>
        <w:rPr>
          <w:rFonts w:ascii="Calibri" w:cs="Calibri" w:eastAsia="Calibri" w:hAnsi="Calibri"/>
          <w:i/>
          <w:iCs/>
          <w:color w:val="5F6263"/>
          <w:sz w:val="20"/>
          <w:szCs w:val="20"/>
        </w:rPr>
        <w:t xml:space="preserve">Read across: </w:t>
      </w:r>
      <w:r>
        <w:rPr>
          <w:rFonts w:ascii="Calibri" w:cs="Calibri" w:eastAsia="Calibri" w:hAnsi="Calibri"/>
          <w:i/>
          <w:iCs/>
          <w:color w:val="5F6263"/>
          <w:sz w:val="20"/>
          <w:szCs w:val="20"/>
        </w:rPr>
        <w:t xml:space="preserve">the regional-role column tells the structural story. Large White and Landrace anchor the regional commercial maternal-line; Duroc anchors terminal-sire commercial cross-breeding; Hampshire and Pietrain serve as alternative-and-premium terminal-sire deployment; Berkshire is the heritage premium specialty; the Large White × Landrace × Duroc three-way commercial cross is the structural regional commercial-pig industry reference. Indigenous African pig anchors the smallholder baseline. The litter-size column traces breeding-and-maternal-line characteristics; the adaptation column anchors agro-ecological fit.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01</w:t>
            </w:r>
          </w:p>
          <w:p>
            <w:pPr>
              <w:spacing w:after="40"/>
            </w:pPr>
            <w:r>
              <w:rPr>
                <w:rFonts w:ascii="Calibri" w:cs="Calibri" w:eastAsia="Calibri" w:hAnsi="Calibri"/>
                <w:b/>
                <w:bCs/>
                <w:color w:val="FFFFFF"/>
                <w:sz w:val="36"/>
                <w:szCs w:val="36"/>
              </w:rPr>
              <w:t xml:space="preserve">Breeds &amp; Genetics</w:t>
            </w:r>
          </w:p>
          <w:p>
            <w:r>
              <w:rPr>
                <w:rFonts w:ascii="Calibri" w:cs="Calibri" w:eastAsia="Calibri" w:hAnsi="Calibri"/>
                <w:i/>
                <w:iCs/>
                <w:color w:val="FFFFFF"/>
                <w:sz w:val="20"/>
                <w:szCs w:val="20"/>
              </w:rPr>
              <w:t xml:space="preserve">Sus scrofa domesticus  •  Imported European × Indigenous African crosses</w:t>
            </w:r>
            <w:r>
              <w:rPr>
                <w:rFonts w:ascii="Calibri" w:cs="Calibri" w:eastAsia="Calibri" w:hAnsi="Calibri"/>
                <w:color w:val="FFFFFF"/>
                <w:sz w:val="20"/>
                <w:szCs w:val="20"/>
              </w:rPr>
              <w:t xml:space="preserve">   •   Mbegu za nguruwe (Sw)  •  The three-way commercial cross reference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MATURE WEIGHT</w:t>
            </w:r>
          </w:p>
          <w:p>
            <w:r>
              <w:rPr>
                <w:rFonts w:ascii="Calibri" w:cs="Calibri" w:eastAsia="Calibri" w:hAnsi="Calibri"/>
                <w:color w:val="1B1B1B"/>
                <w:sz w:val="20"/>
                <w:szCs w:val="20"/>
              </w:rPr>
              <w:t xml:space="preserve">Imported breeds 200–350 kg sows; commercial cross 180–300 kg; indigenous 80–150 kg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LITTER SIZE</w:t>
            </w:r>
          </w:p>
          <w:p>
            <w:r>
              <w:rPr>
                <w:rFonts w:ascii="Calibri" w:cs="Calibri" w:eastAsia="Calibri" w:hAnsi="Calibri"/>
                <w:color w:val="1B1B1B"/>
                <w:sz w:val="20"/>
                <w:szCs w:val="20"/>
              </w:rPr>
              <w:t xml:space="preserve">Imported breeds 10–12 piglets/litter; commercial cross 9–11; indigenous 6–8</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COMMERCIAL CROSS</w:t>
            </w:r>
          </w:p>
          <w:p>
            <w:r>
              <w:rPr>
                <w:rFonts w:ascii="Calibri" w:cs="Calibri" w:eastAsia="Calibri" w:hAnsi="Calibri"/>
                <w:color w:val="1B1B1B"/>
                <w:sz w:val="20"/>
                <w:szCs w:val="20"/>
              </w:rPr>
              <w:t xml:space="preserve">Large White × Landrace × Duroc three-way cross is the regional commercial reference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Imported breeds dominant in commercial production; cross-breds emerging smallholder reference</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Pig genetics in East Africa is structurally dominated by imported European commercial breeds and the three-way commercial cross reference. Unlike cattle (Boran heritage), small-ruminants (Dorper-and-Galla heritage), and emerging tropical-adapted dairy lines, regional pig industry has limited indigenous-breed commercial-development reference — the structural global pig-breed development through North American, European, and recent commercial-breeding-stock programmes has produced commercial breeds (Large White, Landrace, Duroc, Hampshire, Pietrain) that have been imported into regional commercial production with limited indigenous-cross-breeding parallel to the cattle-and-small-ruminant story.</w:t>
      </w:r>
    </w:p>
    <w:p>
      <w:pPr>
        <w:spacing w:after="120" w:line="300"/>
      </w:pPr>
      <w:r>
        <w:rPr>
          <w:rFonts w:ascii="Calibri" w:cs="Calibri" w:eastAsia="Calibri" w:hAnsi="Calibri"/>
          <w:color w:val="1B1B1B"/>
          <w:sz w:val="22"/>
          <w:szCs w:val="22"/>
        </w:rPr>
        <w:t xml:space="preserve">The Large White × Landrace × Duroc three-way commercial cross is the regional commercial pig industry reference. Large White breeding sows crossed with Landrace boars produce F1 maternal-line females; F1 maternal females crossed with Duroc terminal-sire boars produce three-way commercial market pigs combining maternal performance (litter size, milk production, mothering ability), structural growth performance, and structural meat-quality characteristics. Regional commercial pig operations principally anchored by Farmer’s Choice (Kenya) and emerging Tanzanian, Ugandan, Rwandan operators integrate the three-way commercial cross commercial-development reference.</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THE AFRICAN SWINE FEVER QUESTION AND THE REGIONAL PIG INDUSTRY DISCIPLINE</w:t>
            </w:r>
          </w:p>
          <w:p>
            <w:pPr>
              <w:spacing w:after="100" w:line="290"/>
            </w:pPr>
            <w:r>
              <w:rPr>
                <w:rFonts w:ascii="Calibri" w:cs="Calibri" w:eastAsia="Calibri" w:hAnsi="Calibri"/>
                <w:color w:val="1B1B1B"/>
                <w:sz w:val="21"/>
                <w:szCs w:val="21"/>
              </w:rPr>
              <w:t xml:space="preserve">African Swine Fever (ASF) is the structurally defining issue for regional pig industry. The viral disease (caused by African Swine Fever Virus, an Asfivirus) carries 100% mortality in unprotected domestic pigs, no commercial vaccine currently available, structural endemicity in regional African swine populations including warthogs and bushpigs as natural reservoirs, transmission through soft ticks (Ornithodoros species), direct contact, contaminated feed (especially swill feeding), and contaminated equipment. The disease has shaped regional pig industry commercial-development trajectory more fundamentally than any other single factor.</w:t>
            </w:r>
          </w:p>
          <w:p>
            <w:pPr>
              <w:spacing w:after="100" w:line="290"/>
            </w:pPr>
            <w:r>
              <w:rPr>
                <w:rFonts w:ascii="Calibri" w:cs="Calibri" w:eastAsia="Calibri" w:hAnsi="Calibri"/>
                <w:color w:val="1B1B1B"/>
                <w:sz w:val="21"/>
                <w:szCs w:val="21"/>
              </w:rPr>
              <w:t xml:space="preserve">ASF management discipline anchors all regional pig industry operational decisions. Strict biosecurity protocols (quarantine, controlled-access farms, vehicle-and-personnel disinfection, prohibition of swill feeding without proper heat-treatment, isolation from wild swine populations, testing-and-culling of infected animals) are structurally non-negotiable for commercial operations. The 2007–2024 ASF expansion across Eastern Europe and Asia and structural endemicity across African pig populations have driven progressive global awareness; international trade restrictions limit regional pork export capacity to ASF-free zones globally.</w:t>
            </w:r>
          </w:p>
          <w:p>
            <w:pPr>
              <w:spacing w:after="100" w:line="290"/>
            </w:pPr>
            <w:r>
              <w:rPr>
                <w:rFonts w:ascii="Calibri" w:cs="Calibri" w:eastAsia="Calibri" w:hAnsi="Calibri"/>
                <w:color w:val="1B1B1B"/>
                <w:sz w:val="21"/>
                <w:szCs w:val="21"/>
              </w:rPr>
              <w:t xml:space="preserve">The structural commercial-development implication is significant: regional pork commercial-development trajectory is principally domestic-and-regional-market focused. Unlike cattle (Halal-export to Middle East as emerging structural international trajectory) and small-ruminants (Halal-export structurally dominant), pig industry export trajectory is structurally limited by both ASF status and Halal-market non-applicability (pork is religiously prohibited in Islamic markets that anchor regional Middle East animal-protein imports). Domestic urban supermarket-and-food-service-and-restaurant retail, alongside emerging regional EAC-and-COMESA cross-border pork trade, represents the regional pig industry commercial-development reference.</w:t>
            </w:r>
          </w:p>
          <w:p>
            <w:pPr>
              <w:spacing w:after="100" w:line="290"/>
            </w:pPr>
            <w:r>
              <w:rPr>
                <w:rFonts w:ascii="Calibri" w:cs="Calibri" w:eastAsia="Calibri" w:hAnsi="Calibri"/>
                <w:color w:val="1B1B1B"/>
                <w:sz w:val="21"/>
                <w:szCs w:val="21"/>
              </w:rPr>
              <w:t xml:space="preserve">ASF management at smallholder scale carries structural challenge. Smallholder backyard pig production (the dominant regional model by household count, especially in Uganda which has one of Africa’s highest per-capita pig populations) operates with structurally limited biosecurity infrastructure relative to commercial operations; ASF outbreak events in regional smallholder zones drive significant household-economic-and-food-security impact. Cooperative smallholder pig production-and-aggregator infrastructure with structured biosecurity protocols, structured veterinary access, and structured testing-and-quarantine protocols represents the emerging regional commercial-development response to the smallholder-ASF management challenge.</w:t>
            </w:r>
          </w:p>
          <w:p>
            <w:pPr>
              <w:spacing w:after="0" w:line="290"/>
            </w:pPr>
            <w:r>
              <w:rPr>
                <w:rFonts w:ascii="Calibri" w:cs="Calibri" w:eastAsia="Calibri" w:hAnsi="Calibri"/>
                <w:color w:val="1B1B1B"/>
                <w:sz w:val="21"/>
                <w:szCs w:val="21"/>
              </w:rPr>
              <w:t xml:space="preserve">For commercial pig operators, the actionable rule is structural ASF biosecurity discipline anchored by quarantine, controlled-access protocols, swill-feeding prohibition, and structured veterinary inspection. For smallholder pig producers, participation in cooperative-aggregator networks with structured biosecurity protocols anchors the commercial-development pathway. For impact investors and governments, supporting cooperative smallholder pig biosecurity infrastructure, structured veterinary inspection capacity, and emerging ASF-management research-and-extension represents the regional pig industry commercial-development reference — distinctively different from the export-trajectory-anchored cattle and small-ruminant commercial-development references documented in Issues 1–3.</w:t>
            </w:r>
          </w:p>
        </w:tc>
      </w:tr>
    </w:tbl>
    <w:p>
      <w:r>
        <w:t xml:space="preserve"/>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Large White (the regional commercial-pig flagship breed): </w:t>
      </w:r>
      <w:r>
        <w:rPr>
          <w:rFonts w:ascii="Calibri" w:cs="Calibri" w:eastAsia="Calibri" w:hAnsi="Calibri"/>
          <w:color w:val="1B1B1B"/>
          <w:sz w:val="22"/>
          <w:szCs w:val="22"/>
        </w:rPr>
        <w:t xml:space="preserve">Imported European commercial breed; mature sow weight 250–350 kg; structural maternal characteristics with high litter size (10–12 piglets typical), good mothering ability, and structural growth performance; the regional commercial-pig industry maternal-line anchor breed.</w:t>
      </w:r>
    </w:p>
    <w:p>
      <w:pPr>
        <w:pStyle w:val="ListParagraph"/>
        <w:numPr>
          <w:ilvl w:val="0"/>
          <w:numId w:val="2"/>
        </w:numPr>
        <w:spacing w:after="80" w:line="290"/>
      </w:pPr>
      <w:r>
        <w:rPr>
          <w:rFonts w:ascii="Calibri" w:cs="Calibri" w:eastAsia="Calibri" w:hAnsi="Calibri"/>
          <w:b/>
          <w:bCs/>
          <w:color w:val="1B1B1B"/>
          <w:sz w:val="22"/>
          <w:szCs w:val="22"/>
        </w:rPr>
        <w:t xml:space="preserve">Landrace (the secondary commercial maternal-line breed): </w:t>
      </w:r>
      <w:r>
        <w:rPr>
          <w:rFonts w:ascii="Calibri" w:cs="Calibri" w:eastAsia="Calibri" w:hAnsi="Calibri"/>
          <w:color w:val="1B1B1B"/>
          <w:sz w:val="22"/>
          <w:szCs w:val="22"/>
        </w:rPr>
        <w:t xml:space="preserve">Imported European commercial breed; mature sow weight 220–300 kg; long-bodied with high lean-meat carcass yield characteristics; the regional commercial-pig industry secondary maternal-line breed; structural pairing with Large White for F1 commercial cross-breeding.</w:t>
      </w:r>
    </w:p>
    <w:p>
      <w:pPr>
        <w:pStyle w:val="ListParagraph"/>
        <w:numPr>
          <w:ilvl w:val="0"/>
          <w:numId w:val="2"/>
        </w:numPr>
        <w:spacing w:after="80" w:line="290"/>
      </w:pPr>
      <w:r>
        <w:rPr>
          <w:rFonts w:ascii="Calibri" w:cs="Calibri" w:eastAsia="Calibri" w:hAnsi="Calibri"/>
          <w:b/>
          <w:bCs/>
          <w:color w:val="1B1B1B"/>
          <w:sz w:val="22"/>
          <w:szCs w:val="22"/>
        </w:rPr>
        <w:t xml:space="preserve">Duroc (the regional commercial terminal-sire breed): </w:t>
      </w:r>
      <w:r>
        <w:rPr>
          <w:rFonts w:ascii="Calibri" w:cs="Calibri" w:eastAsia="Calibri" w:hAnsi="Calibri"/>
          <w:color w:val="1B1B1B"/>
          <w:sz w:val="22"/>
          <w:szCs w:val="22"/>
        </w:rPr>
        <w:t xml:space="preserve">Imported American commercial breed; red-coloured; mature boar weight 300–400 kg; structural rapid growth and meat-quality characteristics; the regional commercial-pig industry terminal-sire reference for three-way commercial cross-breeding.</w:t>
      </w:r>
    </w:p>
    <w:p>
      <w:pPr>
        <w:pStyle w:val="ListParagraph"/>
        <w:numPr>
          <w:ilvl w:val="0"/>
          <w:numId w:val="2"/>
        </w:numPr>
        <w:spacing w:after="80" w:line="290"/>
      </w:pPr>
      <w:r>
        <w:rPr>
          <w:rFonts w:ascii="Calibri" w:cs="Calibri" w:eastAsia="Calibri" w:hAnsi="Calibri"/>
          <w:b/>
          <w:bCs/>
          <w:color w:val="1B1B1B"/>
          <w:sz w:val="22"/>
          <w:szCs w:val="22"/>
        </w:rPr>
        <w:t xml:space="preserve">Hampshire (terminal-sire alternative): </w:t>
      </w:r>
      <w:r>
        <w:rPr>
          <w:rFonts w:ascii="Calibri" w:cs="Calibri" w:eastAsia="Calibri" w:hAnsi="Calibri"/>
          <w:color w:val="1B1B1B"/>
          <w:sz w:val="22"/>
          <w:szCs w:val="22"/>
        </w:rPr>
        <w:t xml:space="preserve">Imported American commercial breed; black-with-white-belt; mature weight 250–350 kg; structural meat-quality characteristics; alternative terminal-sire breed in regional commercial cross-breeding programmes.</w:t>
      </w:r>
    </w:p>
    <w:p>
      <w:pPr>
        <w:pStyle w:val="ListParagraph"/>
        <w:numPr>
          <w:ilvl w:val="0"/>
          <w:numId w:val="2"/>
        </w:numPr>
        <w:spacing w:after="80" w:line="290"/>
      </w:pPr>
      <w:r>
        <w:rPr>
          <w:rFonts w:ascii="Calibri" w:cs="Calibri" w:eastAsia="Calibri" w:hAnsi="Calibri"/>
          <w:b/>
          <w:bCs/>
          <w:color w:val="1B1B1B"/>
          <w:sz w:val="22"/>
          <w:szCs w:val="22"/>
        </w:rPr>
        <w:t xml:space="preserve">Pietrain (premium terminal-sire specialty): </w:t>
      </w:r>
      <w:r>
        <w:rPr>
          <w:rFonts w:ascii="Calibri" w:cs="Calibri" w:eastAsia="Calibri" w:hAnsi="Calibri"/>
          <w:color w:val="1B1B1B"/>
          <w:sz w:val="22"/>
          <w:szCs w:val="22"/>
        </w:rPr>
        <w:t xml:space="preserve">Imported European commercial breed; structural lean-meat carcass yield characteristics; premium terminal-sire deployment in emerging regional premium commercial operations.</w:t>
      </w:r>
    </w:p>
    <w:p>
      <w:pPr>
        <w:pStyle w:val="ListParagraph"/>
        <w:numPr>
          <w:ilvl w:val="0"/>
          <w:numId w:val="2"/>
        </w:numPr>
        <w:spacing w:after="80" w:line="290"/>
      </w:pPr>
      <w:r>
        <w:rPr>
          <w:rFonts w:ascii="Calibri" w:cs="Calibri" w:eastAsia="Calibri" w:hAnsi="Calibri"/>
          <w:b/>
          <w:bCs/>
          <w:color w:val="1B1B1B"/>
          <w:sz w:val="22"/>
          <w:szCs w:val="22"/>
        </w:rPr>
        <w:t xml:space="preserve">Berkshire (premium specialty breed): </w:t>
      </w:r>
      <w:r>
        <w:rPr>
          <w:rFonts w:ascii="Calibri" w:cs="Calibri" w:eastAsia="Calibri" w:hAnsi="Calibri"/>
          <w:color w:val="1B1B1B"/>
          <w:sz w:val="22"/>
          <w:szCs w:val="22"/>
        </w:rPr>
        <w:t xml:space="preserve">Imported English heritage commercial breed; black-coloured with structural premium-meat-quality marbling characteristics; emerging premium specialty deployment in regional artisan-and-restaurant supply operations.</w:t>
      </w:r>
    </w:p>
    <w:p>
      <w:pPr>
        <w:pStyle w:val="ListParagraph"/>
        <w:numPr>
          <w:ilvl w:val="0"/>
          <w:numId w:val="2"/>
        </w:numPr>
        <w:spacing w:after="80" w:line="290"/>
      </w:pPr>
      <w:r>
        <w:rPr>
          <w:rFonts w:ascii="Calibri" w:cs="Calibri" w:eastAsia="Calibri" w:hAnsi="Calibri"/>
          <w:b/>
          <w:bCs/>
          <w:color w:val="1B1B1B"/>
          <w:sz w:val="22"/>
          <w:szCs w:val="22"/>
        </w:rPr>
        <w:t xml:space="preserve">Large White × Landrace × Duroc (the three-way commercial cross reference): </w:t>
      </w:r>
      <w:r>
        <w:rPr>
          <w:rFonts w:ascii="Calibri" w:cs="Calibri" w:eastAsia="Calibri" w:hAnsi="Calibri"/>
          <w:color w:val="1B1B1B"/>
          <w:sz w:val="22"/>
          <w:szCs w:val="22"/>
        </w:rPr>
        <w:t xml:space="preserve">Three-way commercial cross integrating Large White and Landrace maternal characteristics with Duroc terminal-sire growth-and-meat-quality characteristics; the regional commercial pig industry market-pig reference; structural reference at Farmer’s Choice and emerging regional commercial operations.</w:t>
      </w:r>
    </w:p>
    <w:p>
      <w:pPr>
        <w:pStyle w:val="ListParagraph"/>
        <w:numPr>
          <w:ilvl w:val="0"/>
          <w:numId w:val="2"/>
        </w:numPr>
        <w:spacing w:after="80" w:line="290"/>
      </w:pPr>
      <w:r>
        <w:rPr>
          <w:rFonts w:ascii="Calibri" w:cs="Calibri" w:eastAsia="Calibri" w:hAnsi="Calibri"/>
          <w:b/>
          <w:bCs/>
          <w:color w:val="1B1B1B"/>
          <w:sz w:val="22"/>
          <w:szCs w:val="22"/>
        </w:rPr>
        <w:t xml:space="preserve">Indigenous African pig (the smallholder baseline): </w:t>
      </w:r>
      <w:r>
        <w:rPr>
          <w:rFonts w:ascii="Calibri" w:cs="Calibri" w:eastAsia="Calibri" w:hAnsi="Calibri"/>
          <w:color w:val="1B1B1B"/>
          <w:sz w:val="22"/>
          <w:szCs w:val="22"/>
        </w:rPr>
        <w:t xml:space="preserve">Indigenous regional pig populations; mature weight 80–150 kg; structural drought-and-disease tolerance with significant smallholder-and-traditional-system role; structural cultural-and-economic significance in regional pig-keeping traditions; limited commercial-breed-improvement reference compared to cattle-and-small-ruminant indigenous heritage breeds.</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Three-way commercial cross genetic infrastructure: </w:t>
      </w:r>
      <w:r>
        <w:rPr>
          <w:rFonts w:ascii="Calibri" w:cs="Calibri" w:eastAsia="Calibri" w:hAnsi="Calibri"/>
          <w:color w:val="1B1B1B"/>
          <w:sz w:val="22"/>
          <w:szCs w:val="22"/>
        </w:rPr>
        <w:t xml:space="preserve">Cooperative-and-commercial breeding-stock supply for Large White, Landrace, Duroc breeding sows-and-boars; emerging commercial breeding nucleus operations across regional commercial pig zones;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pig genetics-improvement programmes: </w:t>
      </w:r>
      <w:r>
        <w:rPr>
          <w:rFonts w:ascii="Calibri" w:cs="Calibri" w:eastAsia="Calibri" w:hAnsi="Calibri"/>
          <w:color w:val="1B1B1B"/>
          <w:sz w:val="22"/>
          <w:szCs w:val="22"/>
        </w:rPr>
        <w:t xml:space="preserve">Cooperative pig-cooperative-affiliated breeding-stock supply programmes integrating Large White-and-Landrace breeding-stock distribution to smallholder producers; emerging trajectory through 2024–2026 alongside cooperative biosecurity infrastructure development.</w:t>
      </w:r>
    </w:p>
    <w:p>
      <w:pPr>
        <w:pStyle w:val="ListParagraph"/>
        <w:numPr>
          <w:ilvl w:val="0"/>
          <w:numId w:val="2"/>
        </w:numPr>
        <w:spacing w:after="80" w:line="290"/>
      </w:pPr>
      <w:r>
        <w:rPr>
          <w:rFonts w:ascii="Calibri" w:cs="Calibri" w:eastAsia="Calibri" w:hAnsi="Calibri"/>
          <w:b/>
          <w:bCs/>
          <w:color w:val="1B1B1B"/>
          <w:sz w:val="22"/>
          <w:szCs w:val="22"/>
        </w:rPr>
        <w:t xml:space="preserve">AI infrastructure (limited current regional): </w:t>
      </w:r>
      <w:r>
        <w:rPr>
          <w:rFonts w:ascii="Calibri" w:cs="Calibri" w:eastAsia="Calibri" w:hAnsi="Calibri"/>
          <w:color w:val="1B1B1B"/>
          <w:sz w:val="22"/>
          <w:szCs w:val="22"/>
        </w:rPr>
        <w:t xml:space="preserve">Pig AI infrastructure is less developed regionally than cattle AI; emerging commercial pig-AI providers; very limited current regional commercial scale; emerging trajectory through commercial breeding nucleus operations.</w:t>
      </w:r>
    </w:p>
    <w:p>
      <w:pPr>
        <w:pStyle w:val="ListParagraph"/>
        <w:numPr>
          <w:ilvl w:val="0"/>
          <w:numId w:val="2"/>
        </w:numPr>
        <w:spacing w:after="80" w:line="290"/>
      </w:pPr>
      <w:r>
        <w:rPr>
          <w:rFonts w:ascii="Calibri" w:cs="Calibri" w:eastAsia="Calibri" w:hAnsi="Calibri"/>
          <w:b/>
          <w:bCs/>
          <w:color w:val="1B1B1B"/>
          <w:sz w:val="22"/>
          <w:szCs w:val="22"/>
        </w:rPr>
        <w:t xml:space="preserve">Imported live-animal trade: </w:t>
      </w:r>
      <w:r>
        <w:rPr>
          <w:rFonts w:ascii="Calibri" w:cs="Calibri" w:eastAsia="Calibri" w:hAnsi="Calibri"/>
          <w:color w:val="1B1B1B"/>
          <w:sz w:val="22"/>
          <w:szCs w:val="22"/>
        </w:rPr>
        <w:t xml:space="preserve">Pure-bred Large White, Landrace, Duroc, Hampshire breeding stock imports from South Africa, Netherlands, Denmark, and other source countries for regional commercial breeding-stock building.</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Berkshire heritage-breed pig commercial operations; emerging Pietrain premium commercial production; emerging single-origin highland heritage-pig commercial-development trajectory.</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Pure-bred registration: emerging regional pig breed-society infrastructure (limited compared to cattle-and-small-ruminant breed societies regionally).</w:t>
      </w:r>
    </w:p>
    <w:p>
      <w:pPr>
        <w:pStyle w:val="ListParagraph"/>
        <w:numPr>
          <w:ilvl w:val="0"/>
          <w:numId w:val="2"/>
        </w:numPr>
        <w:spacing w:after="80" w:line="290"/>
      </w:pPr>
      <w:r>
        <w:rPr>
          <w:rFonts w:ascii="Calibri" w:cs="Calibri" w:eastAsia="Calibri" w:hAnsi="Calibri"/>
          <w:color w:val="1B1B1B"/>
          <w:sz w:val="22"/>
          <w:szCs w:val="22"/>
        </w:rPr>
        <w:t xml:space="preserve">AI technician certification: emerging through DVS Kenya, equivalent regional veterinary regulatory authorities (pig AI is structurally less developed than cattle AI regionally).</w:t>
      </w:r>
    </w:p>
    <w:p>
      <w:pPr>
        <w:pStyle w:val="ListParagraph"/>
        <w:numPr>
          <w:ilvl w:val="0"/>
          <w:numId w:val="2"/>
        </w:numPr>
        <w:spacing w:after="80" w:line="290"/>
      </w:pPr>
      <w:r>
        <w:rPr>
          <w:rFonts w:ascii="Calibri" w:cs="Calibri" w:eastAsia="Calibri" w:hAnsi="Calibri"/>
          <w:color w:val="1B1B1B"/>
          <w:sz w:val="22"/>
          <w:szCs w:val="22"/>
        </w:rPr>
        <w:t xml:space="preserve">Phytosanitary and animal-health certification: International animal health protocols for live-animal-and-genetic-material trade; OIE-aligned regional standards; structural ASF-status discipline for international live-animal-and-pork trade.</w:t>
      </w:r>
    </w:p>
    <w:p>
      <w:pPr>
        <w:pStyle w:val="ListParagraph"/>
        <w:numPr>
          <w:ilvl w:val="0"/>
          <w:numId w:val="2"/>
        </w:numPr>
        <w:spacing w:after="80" w:line="290"/>
      </w:pPr>
      <w:r>
        <w:rPr>
          <w:rFonts w:ascii="Calibri" w:cs="Calibri" w:eastAsia="Calibri" w:hAnsi="Calibri"/>
          <w:color w:val="1B1B1B"/>
          <w:sz w:val="22"/>
          <w:szCs w:val="22"/>
        </w:rPr>
        <w:t xml:space="preserve">Breeding-stock certification: emerging structured breed-society protocols anchoring regional pig genetic-quality assurance.</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Breed societies: emerging regional pig breed-society infrastructure. AI infrastructure: emerging commercial pig-AI providers. Reference operations: Farmer’s Choice integrated production operations; emerging private commercial breeding nucleus operations.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Breed societies: emerging infrastructure. AI infrastructure: emerging commercial AI providers; National Artificial Insemination Centre (NAIC, Arusha) cattle-focused with emerging pig integration. Reference operations: emerging Northern and Coast commercial pig operations; AGCOT-cluster-affiliated emerging operations.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Breed societies: emerging infrastructure. AI infrastructure: emerging commercial AI providers; NaLIRRI livestock research integration. Reference operations: significant smallholder pig production across Central, Western, and Northern Uganda; emerging cooperative pig commercial operations; Pig Production and Marketing Uganda (PPM-U) and similar cooperative networks.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Breed societies: emerging infrastructure. AI infrastructure: emerging commercial providers. Reference operations: emerging smallholder-and-cooperative pig operations across Eastern Province.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Breed societies: emerging infrastructure. AI infrastructure: emerging providers. Reference operations: emerging smallholder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Pig genetics is structurally dominated by imported commercial breeds and the Large White × Landrace × Duroc three-way commercial cross regional reference. Unlike cattle (Boran heritage) and small-ruminants (Dorper-and-Galla heritage), regional pig industry has limited indigenous-breed commercial-development trajectory; structural commercial-development is principally imported-breed-and-cross-breed anchored.</w:t>
      </w:r>
    </w:p>
    <w:p>
      <w:pPr>
        <w:spacing w:after="120" w:line="300"/>
      </w:pPr>
      <w:r>
        <w:rPr>
          <w:rFonts w:ascii="Calibri" w:cs="Calibri" w:eastAsia="Calibri" w:hAnsi="Calibri"/>
          <w:color w:val="1B1B1B"/>
          <w:sz w:val="22"/>
          <w:szCs w:val="22"/>
        </w:rPr>
        <w:t xml:space="preserve">For commercial pig operators, the actionable rule is three-way commercial cross production with structured Large White-and-Landrace maternal-line and Duroc terminal-sire breeding-stock supply. For smallholder pig producers, cooperative breeding-stock supply networks anchor genetic-improvement opportunity. For impact investors, scaling regional commercial breeding nucleus operations and cooperative smallholder genetics-improvement programmes anchors the regional pig genetics commercial-development trajectory — within the structural ASF-management discipline framework.</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02</w:t>
            </w:r>
          </w:p>
          <w:p>
            <w:pPr>
              <w:spacing w:after="40"/>
            </w:pPr>
            <w:r>
              <w:rPr>
                <w:rFonts w:ascii="Calibri" w:cs="Calibri" w:eastAsia="Calibri" w:hAnsi="Calibri"/>
                <w:b/>
                <w:bCs/>
                <w:color w:val="FFFFFF"/>
                <w:sz w:val="36"/>
                <w:szCs w:val="36"/>
              </w:rPr>
              <w:t xml:space="preserve">Production Systems</w:t>
            </w:r>
          </w:p>
          <w:p>
            <w:r>
              <w:rPr>
                <w:rFonts w:ascii="Calibri" w:cs="Calibri" w:eastAsia="Calibri" w:hAnsi="Calibri"/>
                <w:i/>
                <w:iCs/>
                <w:color w:val="FFFFFF"/>
                <w:sz w:val="20"/>
                <w:szCs w:val="20"/>
              </w:rPr>
              <w:t xml:space="preserve">Smallholder backyard  •  Semi-intensive  •  Commercial intensive  •  Integrated industrial</w:t>
            </w:r>
            <w:r>
              <w:rPr>
                <w:rFonts w:ascii="Calibri" w:cs="Calibri" w:eastAsia="Calibri" w:hAnsi="Calibri"/>
                <w:color w:val="FFFFFF"/>
                <w:sz w:val="20"/>
                <w:szCs w:val="20"/>
              </w:rPr>
              <w:t xml:space="preserve">   •   Mfumo wa ufugaji wa nguruwe (Sw)  •  Smallholder-and-commercial dual structure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SYSTEM TYPES</w:t>
            </w:r>
          </w:p>
          <w:p>
            <w:r>
              <w:rPr>
                <w:rFonts w:ascii="Calibri" w:cs="Calibri" w:eastAsia="Calibri" w:hAnsi="Calibri"/>
                <w:color w:val="1B1B1B"/>
                <w:sz w:val="20"/>
                <w:szCs w:val="20"/>
              </w:rPr>
              <w:t xml:space="preserve">Smallholder backyard; semi-intensive smallholder; commercial intensive; integrated industrial (rare)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STOCKING DENSITY</w:t>
            </w:r>
          </w:p>
          <w:p>
            <w:r>
              <w:rPr>
                <w:rFonts w:ascii="Calibri" w:cs="Calibri" w:eastAsia="Calibri" w:hAnsi="Calibri"/>
                <w:color w:val="1B1B1B"/>
                <w:sz w:val="20"/>
                <w:szCs w:val="20"/>
              </w:rPr>
              <w:t xml:space="preserve">Smallholder 1–10 sows/HH; commercial 50–500 sows; integrated 1,000+ sows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DAILY MANAGEMENT</w:t>
            </w:r>
          </w:p>
          <w:p>
            <w:r>
              <w:rPr>
                <w:rFonts w:ascii="Calibri" w:cs="Calibri" w:eastAsia="Calibri" w:hAnsi="Calibri"/>
                <w:color w:val="1B1B1B"/>
                <w:sz w:val="20"/>
                <w:szCs w:val="20"/>
              </w:rPr>
              <w:t xml:space="preserve">Smallholder backyard variable; semi-intensive moderately managed; commercial intensive fully managed</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Smallholder dominant by household count; commercial dominant by volume in Kenya; Uganda smallholder anchor</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Pig production system choice determines daily management discipline, biosecurity capacity, feed-and-nutrition strategy, and commercial-aggregation linkage. Four principal regional pig production systems shape commercial picture: smallholder backyard systems (the dominant regional model by household count, especially in Uganda which has one of Africa’s highest per-capita pig populations driven by structural Christian-majority population, agro-ecological favourable conditions, and traditional pig-keeping cultural significance); semi-intensive smallholder systems (smallholder operations with structured housing, feeding, and management protocols); commercial intensive operations (concentrated principally in Kenya through Farmer’s Choice contract supply networks and emerging Tanzanian, Rwandan commercial scale); and integrated industrial operations (rare regionally; Farmer’s Choice operations approach this scale).</w:t>
      </w:r>
    </w:p>
    <w:p>
      <w:pPr>
        <w:spacing w:after="120" w:line="300"/>
      </w:pPr>
      <w:r>
        <w:rPr>
          <w:rFonts w:ascii="Calibri" w:cs="Calibri" w:eastAsia="Calibri" w:hAnsi="Calibri"/>
          <w:color w:val="1B1B1B"/>
          <w:sz w:val="22"/>
          <w:szCs w:val="22"/>
        </w:rPr>
        <w:t xml:space="preserve">Pigs carry structural commercial-development advantages over ruminant livestock for smallholder economics: shorter generation interval (pigs reach market weight in 5–6 months); high reproductive rate (10–12 piglets per litter, 2 litters per year typical); structural feed-conversion efficiency (3–4 kg feed per kg liveweight gain for commercial pigs); structural household-economics flexibility through divisible asset-and-income role; and significant role in household manure-and-biogas integrated systems. Structural challenges include ASF risk (covered in Domain 1 pull-out), feed-cost share of production economics (structurally higher than ruminants given monogastric nutritional requirements), and limited regional cooperative-aggregator infrastructure compared to dairy-and-poultry.</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Smallholder backyard systems (the dominant regional model by household count): </w:t>
      </w:r>
      <w:r>
        <w:rPr>
          <w:rFonts w:ascii="Calibri" w:cs="Calibri" w:eastAsia="Calibri" w:hAnsi="Calibri"/>
          <w:color w:val="1B1B1B"/>
          <w:sz w:val="22"/>
          <w:szCs w:val="22"/>
        </w:rPr>
        <w:t xml:space="preserve">Pigs housed in simple structures or kept free-range around homesteads; fed kitchen waste, crop residues, brewery waste, market waste; structural household-economics integration; 1–10 sows per household typical; structural Christian-majority regional concentration in Uganda (Central, Western, Northern), emerging Kenya Western and Central, Tanzanian Mwanza and Kagera, Rwandan Northern Province, Burundian smallholder zones.</w:t>
      </w:r>
    </w:p>
    <w:p>
      <w:pPr>
        <w:pStyle w:val="ListParagraph"/>
        <w:numPr>
          <w:ilvl w:val="0"/>
          <w:numId w:val="2"/>
        </w:numPr>
        <w:spacing w:after="80" w:line="290"/>
      </w:pPr>
      <w:r>
        <w:rPr>
          <w:rFonts w:ascii="Calibri" w:cs="Calibri" w:eastAsia="Calibri" w:hAnsi="Calibri"/>
          <w:b/>
          <w:bCs/>
          <w:color w:val="1B1B1B"/>
          <w:sz w:val="22"/>
          <w:szCs w:val="22"/>
        </w:rPr>
        <w:t xml:space="preserve">Semi-intensive smallholder systems: </w:t>
      </w:r>
      <w:r>
        <w:rPr>
          <w:rFonts w:ascii="Calibri" w:cs="Calibri" w:eastAsia="Calibri" w:hAnsi="Calibri"/>
          <w:color w:val="1B1B1B"/>
          <w:sz w:val="22"/>
          <w:szCs w:val="22"/>
        </w:rPr>
        <w:t xml:space="preserve">Smallholder operations with structured housing (sty-and-pen construction), structured feeding protocols, emerging veterinary access, and emerging cooperative-aggregator linkages; 5–20 sows typical; emerging regional smallholder 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Commercial intensive operations: </w:t>
      </w:r>
      <w:r>
        <w:rPr>
          <w:rFonts w:ascii="Calibri" w:cs="Calibri" w:eastAsia="Calibri" w:hAnsi="Calibri"/>
          <w:color w:val="1B1B1B"/>
          <w:sz w:val="22"/>
          <w:szCs w:val="22"/>
        </w:rPr>
        <w:t xml:space="preserve">Commercial-scale dedicated pig operations with structured housing, feeding, biosecurity, veterinary, and breeding-stock infrastructure; 50–500 sows typical; principally concentrated in Kenya through Farmer’s Choice contract supply networks and emerging Tanzanian, Ugandan, Rwandan commercial scale.</w:t>
      </w:r>
    </w:p>
    <w:p>
      <w:pPr>
        <w:pStyle w:val="ListParagraph"/>
        <w:numPr>
          <w:ilvl w:val="0"/>
          <w:numId w:val="2"/>
        </w:numPr>
        <w:spacing w:after="80" w:line="290"/>
      </w:pPr>
      <w:r>
        <w:rPr>
          <w:rFonts w:ascii="Calibri" w:cs="Calibri" w:eastAsia="Calibri" w:hAnsi="Calibri"/>
          <w:b/>
          <w:bCs/>
          <w:color w:val="1B1B1B"/>
          <w:sz w:val="22"/>
          <w:szCs w:val="22"/>
        </w:rPr>
        <w:t xml:space="preserve">Integrated industrial operations: </w:t>
      </w:r>
      <w:r>
        <w:rPr>
          <w:rFonts w:ascii="Calibri" w:cs="Calibri" w:eastAsia="Calibri" w:hAnsi="Calibri"/>
          <w:color w:val="1B1B1B"/>
          <w:sz w:val="22"/>
          <w:szCs w:val="22"/>
        </w:rPr>
        <w:t xml:space="preserve">Industrial-scale integrated production-and-processing operations with structured biosecurity-and-management infrastructure; 1,000+ sows typical; rare regionally; Farmer’s Choice operations approach this scale through integrated breeding-feeding-finishing-slaughter-processing operations.</w:t>
      </w:r>
    </w:p>
    <w:p>
      <w:pPr>
        <w:pStyle w:val="ListParagraph"/>
        <w:numPr>
          <w:ilvl w:val="0"/>
          <w:numId w:val="2"/>
        </w:numPr>
        <w:spacing w:after="80" w:line="290"/>
      </w:pPr>
      <w:r>
        <w:rPr>
          <w:rFonts w:ascii="Calibri" w:cs="Calibri" w:eastAsia="Calibri" w:hAnsi="Calibri"/>
          <w:b/>
          <w:bCs/>
          <w:color w:val="1B1B1B"/>
          <w:sz w:val="22"/>
          <w:szCs w:val="22"/>
        </w:rPr>
        <w:t xml:space="preserve">Free-range traditional systems: </w:t>
      </w:r>
      <w:r>
        <w:rPr>
          <w:rFonts w:ascii="Calibri" w:cs="Calibri" w:eastAsia="Calibri" w:hAnsi="Calibri"/>
          <w:color w:val="1B1B1B"/>
          <w:sz w:val="22"/>
          <w:szCs w:val="22"/>
        </w:rPr>
        <w:t xml:space="preserve">Traditional rural smallholder systems with pigs ranging around homesteads and rural communities; structural ASF-risk concern through wild-swine-and-tick contact; emerging shift toward semi-intensive systems for biosecurity and commercial-grade access.</w:t>
      </w:r>
    </w:p>
    <w:p>
      <w:pPr>
        <w:pStyle w:val="ListParagraph"/>
        <w:numPr>
          <w:ilvl w:val="0"/>
          <w:numId w:val="2"/>
        </w:numPr>
        <w:spacing w:after="80" w:line="290"/>
      </w:pPr>
      <w:r>
        <w:rPr>
          <w:rFonts w:ascii="Calibri" w:cs="Calibri" w:eastAsia="Calibri" w:hAnsi="Calibri"/>
          <w:b/>
          <w:bCs/>
          <w:color w:val="1B1B1B"/>
          <w:sz w:val="22"/>
          <w:szCs w:val="22"/>
        </w:rPr>
        <w:t xml:space="preserve">Stocking density (system-dependent): </w:t>
      </w:r>
      <w:r>
        <w:rPr>
          <w:rFonts w:ascii="Calibri" w:cs="Calibri" w:eastAsia="Calibri" w:hAnsi="Calibri"/>
          <w:color w:val="1B1B1B"/>
          <w:sz w:val="22"/>
          <w:szCs w:val="22"/>
        </w:rPr>
        <w:t xml:space="preserve">Smallholder backyard: 1–10 sows per household typical; semi-intensive: 5–20 sows; commercial intensive: 50–500 sows; integrated industrial: 1,000+ sows. Indoor housing: 1–2 m² per finishing pig; 5–7 m² per breeding sow.</w:t>
      </w:r>
    </w:p>
    <w:p>
      <w:pPr>
        <w:pStyle w:val="ListParagraph"/>
        <w:numPr>
          <w:ilvl w:val="0"/>
          <w:numId w:val="2"/>
        </w:numPr>
        <w:spacing w:after="80" w:line="290"/>
      </w:pPr>
      <w:r>
        <w:rPr>
          <w:rFonts w:ascii="Calibri" w:cs="Calibri" w:eastAsia="Calibri" w:hAnsi="Calibri"/>
          <w:b/>
          <w:bCs/>
          <w:color w:val="1B1B1B"/>
          <w:sz w:val="22"/>
          <w:szCs w:val="22"/>
        </w:rPr>
        <w:t xml:space="preserve">Manure-and-biogas integrated systems: </w:t>
      </w:r>
      <w:r>
        <w:rPr>
          <w:rFonts w:ascii="Calibri" w:cs="Calibri" w:eastAsia="Calibri" w:hAnsi="Calibri"/>
          <w:color w:val="1B1B1B"/>
          <w:sz w:val="22"/>
          <w:szCs w:val="22"/>
        </w:rPr>
        <w:t xml:space="preserve">Pig manure as biogas-feedstock for household energy; emerging commercial integration; structural household-energy-and-environmental-management opportunity in regional smallholder pig zones.</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pig commercial integration: </w:t>
      </w:r>
      <w:r>
        <w:rPr>
          <w:rFonts w:ascii="Calibri" w:cs="Calibri" w:eastAsia="Calibri" w:hAnsi="Calibri"/>
          <w:color w:val="1B1B1B"/>
          <w:sz w:val="22"/>
          <w:szCs w:val="22"/>
        </w:rPr>
        <w:t xml:space="preserve">Emerging cooperative pig-cooperative-affiliated production-and-aggregator infrastructure linking smallholder pigs into formal commercial-grade slaughter-and-retail channels; structural commercial-development opportunity especially significant in Uganda smallholder pig zones;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Commercial intensive scale-up across regional: </w:t>
      </w:r>
      <w:r>
        <w:rPr>
          <w:rFonts w:ascii="Calibri" w:cs="Calibri" w:eastAsia="Calibri" w:hAnsi="Calibri"/>
          <w:color w:val="1B1B1B"/>
          <w:sz w:val="22"/>
          <w:szCs w:val="22"/>
        </w:rPr>
        <w:t xml:space="preserve">Emerging commercial intensive pig operations in Tanzania (Mwanza, Northern, Coast), Uganda (Kampala, Mbarara, Mbale emerging), Rwanda (Eastern Province), Burundi (limited current scale) providing emerging regional commercial-development reference paralleling Farmer’s Choice Kenya.</w:t>
      </w:r>
    </w:p>
    <w:p>
      <w:pPr>
        <w:pStyle w:val="ListParagraph"/>
        <w:numPr>
          <w:ilvl w:val="0"/>
          <w:numId w:val="2"/>
        </w:numPr>
        <w:spacing w:after="80" w:line="290"/>
      </w:pPr>
      <w:r>
        <w:rPr>
          <w:rFonts w:ascii="Calibri" w:cs="Calibri" w:eastAsia="Calibri" w:hAnsi="Calibri"/>
          <w:b/>
          <w:bCs/>
          <w:color w:val="1B1B1B"/>
          <w:sz w:val="22"/>
          <w:szCs w:val="22"/>
        </w:rPr>
        <w:t xml:space="preserve">Biosecurity-aligned smallholder housing infrastructure: </w:t>
      </w:r>
      <w:r>
        <w:rPr>
          <w:rFonts w:ascii="Calibri" w:cs="Calibri" w:eastAsia="Calibri" w:hAnsi="Calibri"/>
          <w:color w:val="1B1B1B"/>
          <w:sz w:val="22"/>
          <w:szCs w:val="22"/>
        </w:rPr>
        <w:t xml:space="preserve">Cooperative-and-extension-supported biosecurity-aligned smallholder pig housing infrastructure (controlled-access pens, manure management, fenced compound, isolated quarantine-housing); structural ASF-management commercial-development response.</w:t>
      </w:r>
    </w:p>
    <w:p>
      <w:pPr>
        <w:pStyle w:val="ListParagraph"/>
        <w:numPr>
          <w:ilvl w:val="0"/>
          <w:numId w:val="2"/>
        </w:numPr>
        <w:spacing w:after="80" w:line="290"/>
      </w:pPr>
      <w:r>
        <w:rPr>
          <w:rFonts w:ascii="Calibri" w:cs="Calibri" w:eastAsia="Calibri" w:hAnsi="Calibri"/>
          <w:b/>
          <w:bCs/>
          <w:color w:val="1B1B1B"/>
          <w:sz w:val="22"/>
          <w:szCs w:val="22"/>
        </w:rPr>
        <w:t xml:space="preserve">Manure-and-biogas integrated operations: </w:t>
      </w:r>
      <w:r>
        <w:rPr>
          <w:rFonts w:ascii="Calibri" w:cs="Calibri" w:eastAsia="Calibri" w:hAnsi="Calibri"/>
          <w:color w:val="1B1B1B"/>
          <w:sz w:val="22"/>
          <w:szCs w:val="22"/>
        </w:rPr>
        <w:t xml:space="preserve">Pig manure for biogas feedstock alongside household energy and emerging commercial composting integration; structural climate-and-environmental-management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Climate-smart pig systems: </w:t>
      </w:r>
      <w:r>
        <w:rPr>
          <w:rFonts w:ascii="Calibri" w:cs="Calibri" w:eastAsia="Calibri" w:hAnsi="Calibri"/>
          <w:color w:val="1B1B1B"/>
          <w:sz w:val="22"/>
          <w:szCs w:val="22"/>
        </w:rPr>
        <w:t xml:space="preserve">Solar-powered water-pumping; emerging cooperative water-and-feed infrastructure; structural climate-resilience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heritage-breed Berkshire commercial operations; emerging organic-certified commercial pig operations; specialty grass-fed-and-pasture-raised commercial differentiation; emerging luxury-restaurant-affiliated specialty pig operations.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Animal welfare: regional regulatory frameworks emerging; OIE-aligned welfare standards; emerging GLOBAL G.A.P. pig-equivalent certification.</w:t>
      </w:r>
    </w:p>
    <w:p>
      <w:pPr>
        <w:pStyle w:val="ListParagraph"/>
        <w:numPr>
          <w:ilvl w:val="0"/>
          <w:numId w:val="2"/>
        </w:numPr>
        <w:spacing w:after="80" w:line="290"/>
      </w:pPr>
      <w:r>
        <w:rPr>
          <w:rFonts w:ascii="Calibri" w:cs="Calibri" w:eastAsia="Calibri" w:hAnsi="Calibri"/>
          <w:color w:val="1B1B1B"/>
          <w:sz w:val="22"/>
          <w:szCs w:val="22"/>
        </w:rPr>
        <w:t xml:space="preserve">Biosecurity standards: structural ASF-management protocols; controlled-access farms; vehicle-and-personnel disinfection; isolation from wild-swine populations.</w:t>
      </w:r>
    </w:p>
    <w:p>
      <w:pPr>
        <w:pStyle w:val="ListParagraph"/>
        <w:numPr>
          <w:ilvl w:val="0"/>
          <w:numId w:val="2"/>
        </w:numPr>
        <w:spacing w:after="80" w:line="290"/>
      </w:pPr>
      <w:r>
        <w:rPr>
          <w:rFonts w:ascii="Calibri" w:cs="Calibri" w:eastAsia="Calibri" w:hAnsi="Calibri"/>
          <w:color w:val="1B1B1B"/>
          <w:sz w:val="22"/>
          <w:szCs w:val="22"/>
        </w:rPr>
        <w:t xml:space="preserve">Stocking density standards: typically 1–2 m² per finishing pig; 5–7 m² per breeding sow.</w:t>
      </w:r>
    </w:p>
    <w:p>
      <w:pPr>
        <w:pStyle w:val="ListParagraph"/>
        <w:numPr>
          <w:ilvl w:val="0"/>
          <w:numId w:val="2"/>
        </w:numPr>
        <w:spacing w:after="80" w:line="290"/>
      </w:pPr>
      <w:r>
        <w:rPr>
          <w:rFonts w:ascii="Calibri" w:cs="Calibri" w:eastAsia="Calibri" w:hAnsi="Calibri"/>
          <w:color w:val="1B1B1B"/>
          <w:sz w:val="22"/>
          <w:szCs w:val="22"/>
        </w:rPr>
        <w:t xml:space="preserve">Manure management: emerging environmental compliance frameworks; biogas-and-composting integration as best-practice reference.</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where applicable; emerging pig-specific certification frameworks; organic certification for premium operations.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Extension and training: Directorate of Veterinary Services (DVS); Department of Livestock Production; KALRO Naivasha; Egerton University; County government livestock extension. Reference operations: Farmer’s Choice contract supply networks across Mt Kenya, Western Kenya, Rift Valley pig production zones.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Extension and training: Ministry of Livestock and Fisheries; TARI Tengeru-and-Selian livestock divisions; Sokoine University of Agriculture. Reference operations: emerging Mwanza, Northern, Coast commercial pig operations; AGCOT-cluster-affiliated emerging operations.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Extension and training: MAAIF; NaLIRRI; Makerere University. Reference operations: significant smallholder pig populations across Central, Western, Northern Uganda; emerging Kampala-area commercial operations; Pig Production and Marketing Uganda (PPM-U) and similar cooperative networks.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Extension and training: MINAGRI; RAB; University of Rwanda CAVM. Reference operations: emerging Eastern Province cooperative-and-commercial pig operations.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Extension and training: Ministry of Environment, Agriculture and Livestock; ISABU. Reference operations: emerging cooperative-and-commercial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Pig production system choice determines pig industry operational profile across the regional industry. Smallholder backyard systems anchor regional pig population by household count (especially Uganda); commercial intensive systems anchor commercial-grade volume (especially Kenya through Farmer’s Choice); integrated industrial operations represent the regional commercial-development frontier.</w:t>
      </w:r>
    </w:p>
    <w:p>
      <w:pPr>
        <w:spacing w:after="120" w:line="300"/>
      </w:pPr>
      <w:r>
        <w:rPr>
          <w:rFonts w:ascii="Calibri" w:cs="Calibri" w:eastAsia="Calibri" w:hAnsi="Calibri"/>
          <w:color w:val="1B1B1B"/>
          <w:sz w:val="22"/>
          <w:szCs w:val="22"/>
        </w:rPr>
        <w:t xml:space="preserve">For smallholder producers, the actionable rule is biosecurity-aligned semi-intensive housing-and-management with structured cooperative-aggregator linkages. For commercial operators, integrated production-and-processing operations matched to operational scale with structural ASF-management discipline. For impact investors, scaling cooperative smallholder pig commercial integration (especially in Ugandan smallholder zones) represents one of the strongest available regional pig commercial-development opportunities.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03</w:t>
            </w:r>
          </w:p>
          <w:p>
            <w:pPr>
              <w:spacing w:after="40"/>
            </w:pPr>
            <w:r>
              <w:rPr>
                <w:rFonts w:ascii="Calibri" w:cs="Calibri" w:eastAsia="Calibri" w:hAnsi="Calibri"/>
                <w:b/>
                <w:bCs/>
                <w:color w:val="FFFFFF"/>
                <w:sz w:val="36"/>
                <w:szCs w:val="36"/>
              </w:rPr>
              <w:t xml:space="preserve">Feed &amp; Nutrition</w:t>
            </w:r>
          </w:p>
          <w:p>
            <w:r>
              <w:rPr>
                <w:rFonts w:ascii="Calibri" w:cs="Calibri" w:eastAsia="Calibri" w:hAnsi="Calibri"/>
                <w:i/>
                <w:iCs/>
                <w:color w:val="FFFFFF"/>
                <w:sz w:val="20"/>
                <w:szCs w:val="20"/>
              </w:rPr>
              <w:t xml:space="preserve">Monogastric  •  Concentrate  •  Crop residue integration</w:t>
            </w:r>
            <w:r>
              <w:rPr>
                <w:rFonts w:ascii="Calibri" w:cs="Calibri" w:eastAsia="Calibri" w:hAnsi="Calibri"/>
                <w:color w:val="FFFFFF"/>
                <w:sz w:val="20"/>
                <w:szCs w:val="20"/>
              </w:rPr>
              <w:t xml:space="preserve">   •   Chakula cha nguruwe (Sw)  •  The monogastric high-feed-cost vector</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FEED TYPES</w:t>
            </w:r>
          </w:p>
          <w:p>
            <w:r>
              <w:rPr>
                <w:rFonts w:ascii="Calibri" w:cs="Calibri" w:eastAsia="Calibri" w:hAnsi="Calibri"/>
                <w:color w:val="1B1B1B"/>
                <w:sz w:val="20"/>
                <w:szCs w:val="20"/>
              </w:rPr>
              <w:t xml:space="preserve">Commercial concentrate; smallholder kitchen-waste-and-crop-residue; brewery waste; specialty</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FEED-CONVERSION RATIO</w:t>
            </w:r>
          </w:p>
          <w:p>
            <w:r>
              <w:rPr>
                <w:rFonts w:ascii="Calibri" w:cs="Calibri" w:eastAsia="Calibri" w:hAnsi="Calibri"/>
                <w:color w:val="1B1B1B"/>
                <w:sz w:val="20"/>
                <w:szCs w:val="20"/>
              </w:rPr>
              <w:t xml:space="preserve">Commercial 3–4 kg feed per kg gain; smallholder 5–7 kg per kg gain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CONCENTRATE COMPONENT</w:t>
            </w:r>
          </w:p>
          <w:p>
            <w:r>
              <w:rPr>
                <w:rFonts w:ascii="Calibri" w:cs="Calibri" w:eastAsia="Calibri" w:hAnsi="Calibri"/>
                <w:color w:val="1B1B1B"/>
                <w:sz w:val="20"/>
                <w:szCs w:val="20"/>
              </w:rPr>
              <w:t xml:space="preserve">Commercial concentrate 16–18% protein; smallholder mixed; specialty 18–20% protein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Feed cost typically 60–75% of regional commercial pig production economics</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Pig feed-and-nutrition is structurally distinctive among regional livestock species due to monogastric digestive physiology. Unlike ruminants (cattle, small-ruminants) which can convert structurally low-quality forage-and-browse into productive output through rumen fermentation, pigs require structurally higher-quality concentrate-based feed with balanced amino-acid profiles, structurally higher protein content (16–20% crude protein for finishing rations), and structurally lower fibre content. Feed costs structurally represent 60–75% of regional commercial pig production economics — the highest feed-cost share of any regional livestock category, making feed-cost-and-formulation discipline the foundational pig commercial-development vector.</w:t>
      </w:r>
    </w:p>
    <w:p>
      <w:pPr>
        <w:spacing w:after="120" w:line="300"/>
      </w:pPr>
      <w:r>
        <w:rPr>
          <w:rFonts w:ascii="Calibri" w:cs="Calibri" w:eastAsia="Calibri" w:hAnsi="Calibri"/>
          <w:color w:val="1B1B1B"/>
          <w:sz w:val="22"/>
          <w:szCs w:val="22"/>
        </w:rPr>
        <w:t xml:space="preserve">Five feed-and-nutrition categories shape regional commercial picture: commercial concentrate (manufactured pig-specific formulations from major regional feed manufacturers); smallholder kitchen-waste-and-crop-residue feeding (the dominant smallholder regional model with structurally lower productivity but structurally lower cash-cost economics); brewery and food-industry waste (structural smallholder feed input through breweries, bakeries, restaurants); specialty premium feed (organic, non-GMO, niche premium operations); and emerging alternative-protein feed (insect-protein, single-cell-protein — emerging regional pilot operations).</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Commercial concentrate (the commercial-pig industry feed input): </w:t>
      </w:r>
      <w:r>
        <w:rPr>
          <w:rFonts w:ascii="Calibri" w:cs="Calibri" w:eastAsia="Calibri" w:hAnsi="Calibri"/>
          <w:color w:val="1B1B1B"/>
          <w:sz w:val="22"/>
          <w:szCs w:val="22"/>
        </w:rPr>
        <w:t xml:space="preserve">Manufactured pig-specific formulations: starter (3–8 weeks, 18–22% crude protein), grower (8–16 weeks, 16–18% protein), finisher (16–24 weeks, 14–16% protein), sow gestation/lactation rations. Major regional operators: Unga Feeds Kenya; Sigma Feeds; Bidco Animal Feeds; Pembe Feeds Tanzania; Mukwano Animal Feeds Uganda; Ugachick Feeds; emerging Tanzanian, Rwandan, Burundian operators.</w:t>
      </w:r>
    </w:p>
    <w:p>
      <w:pPr>
        <w:pStyle w:val="ListParagraph"/>
        <w:numPr>
          <w:ilvl w:val="0"/>
          <w:numId w:val="2"/>
        </w:numPr>
        <w:spacing w:after="80" w:line="290"/>
      </w:pPr>
      <w:r>
        <w:rPr>
          <w:rFonts w:ascii="Calibri" w:cs="Calibri" w:eastAsia="Calibri" w:hAnsi="Calibri"/>
          <w:b/>
          <w:bCs/>
          <w:color w:val="1B1B1B"/>
          <w:sz w:val="22"/>
          <w:szCs w:val="22"/>
        </w:rPr>
        <w:t xml:space="preserve">Smallholder kitchen-waste-and-crop-residue feeding (the dominant smallholder model): </w:t>
      </w:r>
      <w:r>
        <w:rPr>
          <w:rFonts w:ascii="Calibri" w:cs="Calibri" w:eastAsia="Calibri" w:hAnsi="Calibri"/>
          <w:color w:val="1B1B1B"/>
          <w:sz w:val="22"/>
          <w:szCs w:val="22"/>
        </w:rPr>
        <w:t xml:space="preserve">Kitchen waste, crop residues (sweet potato vines, cassava roots/leaves, maize, banana, vegetable trimmings), market waste; structurally significant household-economics integration but structural ASF-risk through unprocessed swill feeding (heat treatment recommended; emerging regional regulatory frameworks).</w:t>
      </w:r>
    </w:p>
    <w:p>
      <w:pPr>
        <w:pStyle w:val="ListParagraph"/>
        <w:numPr>
          <w:ilvl w:val="0"/>
          <w:numId w:val="2"/>
        </w:numPr>
        <w:spacing w:after="80" w:line="290"/>
      </w:pPr>
      <w:r>
        <w:rPr>
          <w:rFonts w:ascii="Calibri" w:cs="Calibri" w:eastAsia="Calibri" w:hAnsi="Calibri"/>
          <w:b/>
          <w:bCs/>
          <w:color w:val="1B1B1B"/>
          <w:sz w:val="22"/>
          <w:szCs w:val="22"/>
        </w:rPr>
        <w:t xml:space="preserve">Brewery and food-industry waste (structural smallholder feed input): </w:t>
      </w:r>
      <w:r>
        <w:rPr>
          <w:rFonts w:ascii="Calibri" w:cs="Calibri" w:eastAsia="Calibri" w:hAnsi="Calibri"/>
          <w:color w:val="1B1B1B"/>
          <w:sz w:val="22"/>
          <w:szCs w:val="22"/>
        </w:rPr>
        <w:t xml:space="preserve">Spent grain from breweries (East African Breweries, Kenya Breweries, Serengeti Breweries Limited Tanzania, Uganda Breweries, BRARUDI Burundi, BRALIRWA Rwanda); bakery waste; restaurant waste; significant regional smallholder pig feed input; emerging cooperative aggregation of brewery-waste distribution networks.</w:t>
      </w:r>
    </w:p>
    <w:p>
      <w:pPr>
        <w:pStyle w:val="ListParagraph"/>
        <w:numPr>
          <w:ilvl w:val="0"/>
          <w:numId w:val="2"/>
        </w:numPr>
        <w:spacing w:after="80" w:line="290"/>
      </w:pPr>
      <w:r>
        <w:rPr>
          <w:rFonts w:ascii="Calibri" w:cs="Calibri" w:eastAsia="Calibri" w:hAnsi="Calibri"/>
          <w:b/>
          <w:bCs/>
          <w:color w:val="1B1B1B"/>
          <w:sz w:val="22"/>
          <w:szCs w:val="22"/>
        </w:rPr>
        <w:t xml:space="preserve">Maize-and-soybean-meal feed-input value chain: </w:t>
      </w:r>
      <w:r>
        <w:rPr>
          <w:rFonts w:ascii="Calibri" w:cs="Calibri" w:eastAsia="Calibri" w:hAnsi="Calibri"/>
          <w:color w:val="1B1B1B"/>
          <w:sz w:val="22"/>
          <w:szCs w:val="22"/>
        </w:rPr>
        <w:t xml:space="preserve">Maize and soybean meal are the structural commercial-pig-feed inputs (cross-reference Post-Harvest Series 1 Issues 1 and 2 for upstream cereal-and-legume value chain); structural feed-input-cost concern through regional grain-and-pulse import dependence.</w:t>
      </w:r>
    </w:p>
    <w:p>
      <w:pPr>
        <w:pStyle w:val="ListParagraph"/>
        <w:numPr>
          <w:ilvl w:val="0"/>
          <w:numId w:val="2"/>
        </w:numPr>
        <w:spacing w:after="80" w:line="290"/>
      </w:pPr>
      <w:r>
        <w:rPr>
          <w:rFonts w:ascii="Calibri" w:cs="Calibri" w:eastAsia="Calibri" w:hAnsi="Calibri"/>
          <w:b/>
          <w:bCs/>
          <w:color w:val="1B1B1B"/>
          <w:sz w:val="22"/>
          <w:szCs w:val="22"/>
        </w:rPr>
        <w:t xml:space="preserve">Fish meal and emerging alternative protein: </w:t>
      </w:r>
      <w:r>
        <w:rPr>
          <w:rFonts w:ascii="Calibri" w:cs="Calibri" w:eastAsia="Calibri" w:hAnsi="Calibri"/>
          <w:color w:val="1B1B1B"/>
          <w:sz w:val="22"/>
          <w:szCs w:val="22"/>
        </w:rPr>
        <w:t xml:space="preserve">Fish meal as structural high-quality protein input for pig feed (cross-reference Issues 8–11 of this Series for fisheries-and-aquaculture coverage); emerging insect-protein and single-cell-protein commercial pilots representing alternative-protein commercial-development trajectory.</w:t>
      </w:r>
    </w:p>
    <w:p>
      <w:pPr>
        <w:pStyle w:val="ListParagraph"/>
        <w:numPr>
          <w:ilvl w:val="0"/>
          <w:numId w:val="2"/>
        </w:numPr>
        <w:spacing w:after="80" w:line="290"/>
      </w:pPr>
      <w:r>
        <w:rPr>
          <w:rFonts w:ascii="Calibri" w:cs="Calibri" w:eastAsia="Calibri" w:hAnsi="Calibri"/>
          <w:b/>
          <w:bCs/>
          <w:color w:val="1B1B1B"/>
          <w:sz w:val="22"/>
          <w:szCs w:val="22"/>
        </w:rPr>
        <w:t xml:space="preserve">Mineral and vitamin supplementation: </w:t>
      </w:r>
      <w:r>
        <w:rPr>
          <w:rFonts w:ascii="Calibri" w:cs="Calibri" w:eastAsia="Calibri" w:hAnsi="Calibri"/>
          <w:color w:val="1B1B1B"/>
          <w:sz w:val="22"/>
          <w:szCs w:val="22"/>
        </w:rPr>
        <w:t xml:space="preserve">Pig-specific mineral premix; vitamin supplementation; structural commercial-grade pig nutrition input.</w:t>
      </w:r>
    </w:p>
    <w:p>
      <w:pPr>
        <w:pStyle w:val="ListParagraph"/>
        <w:numPr>
          <w:ilvl w:val="0"/>
          <w:numId w:val="2"/>
        </w:numPr>
        <w:spacing w:after="80" w:line="290"/>
      </w:pPr>
      <w:r>
        <w:rPr>
          <w:rFonts w:ascii="Calibri" w:cs="Calibri" w:eastAsia="Calibri" w:hAnsi="Calibri"/>
          <w:b/>
          <w:bCs/>
          <w:color w:val="1B1B1B"/>
          <w:sz w:val="22"/>
          <w:szCs w:val="22"/>
        </w:rPr>
        <w:t xml:space="preserve">Sweet potato vines and cassava integration (smallholder): </w:t>
      </w:r>
      <w:r>
        <w:rPr>
          <w:rFonts w:ascii="Calibri" w:cs="Calibri" w:eastAsia="Calibri" w:hAnsi="Calibri"/>
          <w:color w:val="1B1B1B"/>
          <w:sz w:val="22"/>
          <w:szCs w:val="22"/>
        </w:rPr>
        <w:t xml:space="preserve">Sweet potato vines and cassava roots-and-leaves as significant smallholder pig feed inputs (cross-reference Post-Harvest Series 1 Issue 5 for sweet potato and cassava coverage); structural cassava-cyanide processing-and-management discipline for safe pig feeding.</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Commercial concentrate scale-up across regional: </w:t>
      </w:r>
      <w:r>
        <w:rPr>
          <w:rFonts w:ascii="Calibri" w:cs="Calibri" w:eastAsia="Calibri" w:hAnsi="Calibri"/>
          <w:color w:val="1B1B1B"/>
          <w:sz w:val="22"/>
          <w:szCs w:val="22"/>
        </w:rPr>
        <w:t xml:space="preserve">Emerging Tanzanian, Ugandan, Rwandan, Burundian commercial pig-concentrate manufacturing operations alongside Kenyan-anchored regional reference;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feed-input infrastructure: </w:t>
      </w:r>
      <w:r>
        <w:rPr>
          <w:rFonts w:ascii="Calibri" w:cs="Calibri" w:eastAsia="Calibri" w:hAnsi="Calibri"/>
          <w:color w:val="1B1B1B"/>
          <w:sz w:val="22"/>
          <w:szCs w:val="22"/>
        </w:rPr>
        <w:t xml:space="preserve">Cooperative aggregation of brewery-waste, market-waste, crop-residue feed inputs for smallholder pig operations; structural commercial-development trajectory addressing smallholder feed-cost-and-quality challenge.</w:t>
      </w:r>
    </w:p>
    <w:p>
      <w:pPr>
        <w:pStyle w:val="ListParagraph"/>
        <w:numPr>
          <w:ilvl w:val="0"/>
          <w:numId w:val="2"/>
        </w:numPr>
        <w:spacing w:after="80" w:line="290"/>
      </w:pPr>
      <w:r>
        <w:rPr>
          <w:rFonts w:ascii="Calibri" w:cs="Calibri" w:eastAsia="Calibri" w:hAnsi="Calibri"/>
          <w:b/>
          <w:bCs/>
          <w:color w:val="1B1B1B"/>
          <w:sz w:val="22"/>
          <w:szCs w:val="22"/>
        </w:rPr>
        <w:t xml:space="preserve">Alternative-protein commercial pilots: </w:t>
      </w:r>
      <w:r>
        <w:rPr>
          <w:rFonts w:ascii="Calibri" w:cs="Calibri" w:eastAsia="Calibri" w:hAnsi="Calibri"/>
          <w:color w:val="1B1B1B"/>
          <w:sz w:val="22"/>
          <w:szCs w:val="22"/>
        </w:rPr>
        <w:t xml:space="preserve">Insect-protein (black soldier fly, Hermetia illucens) and single-cell-protein commercial pilot operations for pig-and-poultry feed integration; emerging regional commercial-development trajectory; significant climate-and-circular-economy alignment potential.</w:t>
      </w:r>
    </w:p>
    <w:p>
      <w:pPr>
        <w:pStyle w:val="ListParagraph"/>
        <w:numPr>
          <w:ilvl w:val="0"/>
          <w:numId w:val="2"/>
        </w:numPr>
        <w:spacing w:after="80" w:line="290"/>
      </w:pPr>
      <w:r>
        <w:rPr>
          <w:rFonts w:ascii="Calibri" w:cs="Calibri" w:eastAsia="Calibri" w:hAnsi="Calibri"/>
          <w:b/>
          <w:bCs/>
          <w:color w:val="1B1B1B"/>
          <w:sz w:val="22"/>
          <w:szCs w:val="22"/>
        </w:rPr>
        <w:t xml:space="preserve">Cassava-and-sweet-potato value-chain pig feed integration: </w:t>
      </w:r>
      <w:r>
        <w:rPr>
          <w:rFonts w:ascii="Calibri" w:cs="Calibri" w:eastAsia="Calibri" w:hAnsi="Calibri"/>
          <w:color w:val="1B1B1B"/>
          <w:sz w:val="22"/>
          <w:szCs w:val="22"/>
        </w:rPr>
        <w:t xml:space="preserve">Cassava-and-sweet-potato value-chain integration into pig feed (cross-reference Post-Harvest Series 1 Issue 5); emerging structural smallholder 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organic-and-non-GMO pig feed operations; emerging single-origin specialty pig feed brands; emerging probiotic-fortified pig feed product lines.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Concentrate formulation: pig-specific 16–22% crude protein depending on production stage; structural balanced amino-acid profile (lysine, methionine, threonine essential).</w:t>
      </w:r>
    </w:p>
    <w:p>
      <w:pPr>
        <w:pStyle w:val="ListParagraph"/>
        <w:numPr>
          <w:ilvl w:val="0"/>
          <w:numId w:val="2"/>
        </w:numPr>
        <w:spacing w:after="80" w:line="290"/>
      </w:pPr>
      <w:r>
        <w:rPr>
          <w:rFonts w:ascii="Calibri" w:cs="Calibri" w:eastAsia="Calibri" w:hAnsi="Calibri"/>
          <w:color w:val="1B1B1B"/>
          <w:sz w:val="22"/>
          <w:szCs w:val="22"/>
        </w:rPr>
        <w:t xml:space="preserve">Aflatoxin contamination: maximum 5–10 ppb aflatoxin total in pig concentrate (structurally significant given pig sensitivity to aflatoxin; cross-reference Post-Harvest Issues 1 and 2 for upstream coverage).</w:t>
      </w:r>
    </w:p>
    <w:p>
      <w:pPr>
        <w:pStyle w:val="ListParagraph"/>
        <w:numPr>
          <w:ilvl w:val="0"/>
          <w:numId w:val="2"/>
        </w:numPr>
        <w:spacing w:after="80" w:line="290"/>
      </w:pPr>
      <w:r>
        <w:rPr>
          <w:rFonts w:ascii="Calibri" w:cs="Calibri" w:eastAsia="Calibri" w:hAnsi="Calibri"/>
          <w:color w:val="1B1B1B"/>
          <w:sz w:val="22"/>
          <w:szCs w:val="22"/>
        </w:rPr>
        <w:t xml:space="preserve">Swill feeding: structural ASF-management discipline requires heat treatment of swill feed (typically 90°C+ for adequate inactivation); emerging regional regulatory frameworks.</w:t>
      </w:r>
    </w:p>
    <w:p>
      <w:pPr>
        <w:pStyle w:val="ListParagraph"/>
        <w:numPr>
          <w:ilvl w:val="0"/>
          <w:numId w:val="2"/>
        </w:numPr>
        <w:spacing w:after="80" w:line="290"/>
      </w:pPr>
      <w:r>
        <w:rPr>
          <w:rFonts w:ascii="Calibri" w:cs="Calibri" w:eastAsia="Calibri" w:hAnsi="Calibri"/>
          <w:color w:val="1B1B1B"/>
          <w:sz w:val="22"/>
          <w:szCs w:val="22"/>
        </w:rPr>
        <w:t xml:space="preserve">Cassava-cyanide management: structural cassava-and-sweet-potato processing discipline before pig feeding (cross-reference Post-Harvest Issue 5 for full discussion).</w:t>
      </w:r>
    </w:p>
    <w:p>
      <w:pPr>
        <w:pStyle w:val="ListParagraph"/>
        <w:numPr>
          <w:ilvl w:val="0"/>
          <w:numId w:val="2"/>
        </w:numPr>
        <w:spacing w:after="80" w:line="290"/>
      </w:pPr>
      <w:r>
        <w:rPr>
          <w:rFonts w:ascii="Calibri" w:cs="Calibri" w:eastAsia="Calibri" w:hAnsi="Calibri"/>
          <w:color w:val="1B1B1B"/>
          <w:sz w:val="22"/>
          <w:szCs w:val="22"/>
        </w:rPr>
        <w:t xml:space="preserve">Mineral supplementation: pig-specific mineral and vitamin formulations addressing regional nutritional requirements.</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HACCP for premium pig feed operations.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Feed manufacturers: Unga Feeds (the regional commercial pig-feed reference); Sigma Feeds; Bidco Animal Feeds; Sameer Agriculture; emerging private operators. Brewery waste: Kenya Breweries Limited (KBL, Diageo-affiliated). Cassava-and-sweet-potato extension: KALRO Kabete-and-Embu.</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Feed manufacturers: Pembe Feeds; emerging Tanzanian operators; Bakhresa Animal Feeds; AGCOT-cluster-affiliated pig-feed operations. Brewery waste: Serengeti Breweries Limited (SBL, Diageo-affiliated); Tanzania Breweries Limited (TBL, AB InBev-affiliated).</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Feed manufacturers: Mukwano Animal Feeds; Ugachick Feeds; emerging private operators. Brewery waste: Uganda Breweries Limited (Diageo-affiliated); Nile Breweries Limited (AB InBev-affiliated).</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Feed manufacturers: emerging Rwandan operators. Brewery waste: BRALIRWA (Heineken-affiliated).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Feed manufacturers: emerging cooperative operators. Brewery waste: BRARUDI (Heineken-affiliated).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Pig feed-and-nutrition is the structurally distinctive monogastric high-feed-cost vector that determines regional pig commercial-development economics. Commercial concentrate provides the commercial-grade pig industry feed-input baseline; smallholder kitchen-waste-and-crop-residue-and-brewery-waste feeding provides the structural smallholder regional model.</w:t>
      </w:r>
    </w:p>
    <w:p>
      <w:pPr>
        <w:spacing w:after="120" w:line="300"/>
      </w:pPr>
      <w:r>
        <w:rPr>
          <w:rFonts w:ascii="Calibri" w:cs="Calibri" w:eastAsia="Calibri" w:hAnsi="Calibri"/>
          <w:color w:val="1B1B1B"/>
          <w:sz w:val="22"/>
          <w:szCs w:val="22"/>
        </w:rPr>
        <w:t xml:space="preserve">For commercial pig operators, the actionable rule is structured commercial concentrate procurement with appropriate production-stage formulation matching. For smallholder pig producers, structured kitchen-waste-and-crop-residue-and-brewery-waste integration with biosecurity-aligned heat-treatment protocols. For impact investors, scaling commercial pig concentrate operations alongside emerging alternative-protein (insect-protein) commercial pilots represents the regional pig feed-and-nutrition commercial-development trajectory.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04</w:t>
            </w:r>
          </w:p>
          <w:p>
            <w:pPr>
              <w:spacing w:after="40"/>
            </w:pPr>
            <w:r>
              <w:rPr>
                <w:rFonts w:ascii="Calibri" w:cs="Calibri" w:eastAsia="Calibri" w:hAnsi="Calibri"/>
                <w:b/>
                <w:bCs/>
                <w:color w:val="FFFFFF"/>
                <w:sz w:val="36"/>
                <w:szCs w:val="36"/>
              </w:rPr>
              <w:t xml:space="preserve">Veterinary Services &amp; Animal Health</w:t>
            </w:r>
          </w:p>
          <w:p>
            <w:r>
              <w:rPr>
                <w:rFonts w:ascii="Calibri" w:cs="Calibri" w:eastAsia="Calibri" w:hAnsi="Calibri"/>
                <w:i/>
                <w:iCs/>
                <w:color w:val="FFFFFF"/>
                <w:sz w:val="20"/>
                <w:szCs w:val="20"/>
              </w:rPr>
              <w:t xml:space="preserve">Disease management  •  ASF biosecurity  •  CSF vaccination  •  PRRS</w:t>
            </w:r>
            <w:r>
              <w:rPr>
                <w:rFonts w:ascii="Calibri" w:cs="Calibri" w:eastAsia="Calibri" w:hAnsi="Calibri"/>
                <w:color w:val="FFFFFF"/>
                <w:sz w:val="20"/>
                <w:szCs w:val="20"/>
              </w:rPr>
              <w:t xml:space="preserve">   •   Huduma za daktari wa mifugo (Sw)  •  ASF-and-biosecurity discipline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MAJOR DISEASE THREATS</w:t>
            </w:r>
          </w:p>
          <w:p>
            <w:r>
              <w:rPr>
                <w:rFonts w:ascii="Calibri" w:cs="Calibri" w:eastAsia="Calibri" w:hAnsi="Calibri"/>
                <w:color w:val="1B1B1B"/>
                <w:sz w:val="20"/>
                <w:szCs w:val="20"/>
              </w:rPr>
              <w:t xml:space="preserve">ASF (the structural defining threat); CSF; FMD; PRRS; trichinosis; cysticercosis; helminth burden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VACCINATION CALENDAR</w:t>
            </w:r>
          </w:p>
          <w:p>
            <w:r>
              <w:rPr>
                <w:rFonts w:ascii="Calibri" w:cs="Calibri" w:eastAsia="Calibri" w:hAnsi="Calibri"/>
                <w:color w:val="1B1B1B"/>
                <w:sz w:val="20"/>
                <w:szCs w:val="20"/>
              </w:rPr>
              <w:t xml:space="preserve">Annual core: CSF, Erysipelas, Pneumonia complex; deworming quarterly; ASF biosecurity year-round</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VETERINARY ACCESS</w:t>
            </w:r>
          </w:p>
          <w:p>
            <w:r>
              <w:rPr>
                <w:rFonts w:ascii="Calibri" w:cs="Calibri" w:eastAsia="Calibri" w:hAnsi="Calibri"/>
                <w:color w:val="1B1B1B"/>
                <w:sz w:val="20"/>
                <w:szCs w:val="20"/>
              </w:rPr>
              <w:t xml:space="preserve">Government DVS + private veterinary + cooperative para-veterinary; structural smallholder gaps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ASF biosecurity discipline is the structural pig industry productivity-protection vector</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Pig veterinary services and animal health are structurally distinctive among regional livestock industries due to the African Swine Fever (ASF) threat that structurally shapes all pig industry decisions (covered in Domain 1 upfront pull-out box). Beyond ASF, six additional disease categories anchor regional pig disease pressure: Classical Swine Fever (CSF — vaccine-preventable but structurally significant outbreak risk); Foot-and-Mouth Disease (FMD — affects pigs but less severely than cattle, with structural shared-FMD-management protocols across regional livestock industries); Porcine Reproductive and Respiratory Syndrome (PRRS — emerging regional concern with structural commercial-pig industry impact); Trichinosis (Trichinella spiralis — zoonotic concern requiring structural meat-inspection discipline); Porcine Cysticercosis (Taenia solium — zoonotic concern especially in smallholder systems with poor hygiene); and helminthiasis (worm burden — structural productivity-loss driver across regional operations).</w:t>
      </w:r>
    </w:p>
    <w:p>
      <w:pPr>
        <w:spacing w:after="120" w:line="300"/>
      </w:pPr>
      <w:r>
        <w:rPr>
          <w:rFonts w:ascii="Calibri" w:cs="Calibri" w:eastAsia="Calibri" w:hAnsi="Calibri"/>
          <w:color w:val="1B1B1B"/>
          <w:sz w:val="22"/>
          <w:szCs w:val="22"/>
        </w:rPr>
        <w:t xml:space="preserve">Pig veterinary services run through three coordinated channels paralleling other regional livestock industries: government Directorate of Veterinary Services (DVS Kenya, Tanzania VS, Uganda DVS, Rwanda VS, Burundi VS) operating regulatory-and-disease-control functions especially focused on ASF outbreak management; private veterinary practitioners providing clinical services at commercial-and-progressive-smallholder scale; and emerging cooperative para-veterinary networks providing structurally important rural smallholder service delivery. The structural pig industry challenge is coordinating ASF biosecurity discipline across smallholder, cooperative, and commercial production system spectrum.</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African Swine Fever / ASF (the structural defining threat): </w:t>
      </w:r>
      <w:r>
        <w:rPr>
          <w:rFonts w:ascii="Calibri" w:cs="Calibri" w:eastAsia="Calibri" w:hAnsi="Calibri"/>
          <w:color w:val="1B1B1B"/>
          <w:sz w:val="22"/>
          <w:szCs w:val="22"/>
        </w:rPr>
        <w:t xml:space="preserve">Caused by African Swine Fever Virus (Asfivirus); 100% mortality in unprotected pigs; no commercial vaccine currently available; structural endemicity in regional swine populations; transmission through soft ticks (Ornithodoros species), direct contact, contaminated feed, contaminated equipment. Cross-reference Domain 1 upfront pull-out box for full ASF-management discipline framework.</w:t>
      </w:r>
    </w:p>
    <w:p>
      <w:pPr>
        <w:pStyle w:val="ListParagraph"/>
        <w:numPr>
          <w:ilvl w:val="0"/>
          <w:numId w:val="2"/>
        </w:numPr>
        <w:spacing w:after="80" w:line="290"/>
      </w:pPr>
      <w:r>
        <w:rPr>
          <w:rFonts w:ascii="Calibri" w:cs="Calibri" w:eastAsia="Calibri" w:hAnsi="Calibri"/>
          <w:b/>
          <w:bCs/>
          <w:color w:val="1B1B1B"/>
          <w:sz w:val="22"/>
          <w:szCs w:val="22"/>
        </w:rPr>
        <w:t xml:space="preserve">Classical Swine Fever / CSF (vaccine-preventable structural threat): </w:t>
      </w:r>
      <w:r>
        <w:rPr>
          <w:rFonts w:ascii="Calibri" w:cs="Calibri" w:eastAsia="Calibri" w:hAnsi="Calibri"/>
          <w:color w:val="1B1B1B"/>
          <w:sz w:val="22"/>
          <w:szCs w:val="22"/>
        </w:rPr>
        <w:t xml:space="preserve">Caused by Classical Swine Fever Virus (Pestivirus); structural mortality in unprotected pigs; vaccination programmes structurally available regionally; structural OIE-aligned outbreak-control discipline.</w:t>
      </w:r>
    </w:p>
    <w:p>
      <w:pPr>
        <w:pStyle w:val="ListParagraph"/>
        <w:numPr>
          <w:ilvl w:val="0"/>
          <w:numId w:val="2"/>
        </w:numPr>
        <w:spacing w:after="80" w:line="290"/>
      </w:pPr>
      <w:r>
        <w:rPr>
          <w:rFonts w:ascii="Calibri" w:cs="Calibri" w:eastAsia="Calibri" w:hAnsi="Calibri"/>
          <w:b/>
          <w:bCs/>
          <w:color w:val="1B1B1B"/>
          <w:sz w:val="22"/>
          <w:szCs w:val="22"/>
        </w:rPr>
        <w:t xml:space="preserve">Foot-and-Mouth Disease / FMD (regional structural concern): </w:t>
      </w:r>
      <w:r>
        <w:rPr>
          <w:rFonts w:ascii="Calibri" w:cs="Calibri" w:eastAsia="Calibri" w:hAnsi="Calibri"/>
          <w:color w:val="1B1B1B"/>
          <w:sz w:val="22"/>
          <w:szCs w:val="22"/>
        </w:rPr>
        <w:t xml:space="preserve">Affects pigs but less severely than cattle; structural shared-FMD-management protocols across regional livestock industries; vaccination programmes principally cattle-focused with emerging pig-integration.</w:t>
      </w:r>
    </w:p>
    <w:p>
      <w:pPr>
        <w:pStyle w:val="ListParagraph"/>
        <w:numPr>
          <w:ilvl w:val="0"/>
          <w:numId w:val="2"/>
        </w:numPr>
        <w:spacing w:after="80" w:line="290"/>
      </w:pPr>
      <w:r>
        <w:rPr>
          <w:rFonts w:ascii="Calibri" w:cs="Calibri" w:eastAsia="Calibri" w:hAnsi="Calibri"/>
          <w:b/>
          <w:bCs/>
          <w:color w:val="1B1B1B"/>
          <w:sz w:val="22"/>
          <w:szCs w:val="22"/>
        </w:rPr>
        <w:t xml:space="preserve">Porcine Reproductive and Respiratory Syndrome / PRRS (emerging concern): </w:t>
      </w:r>
      <w:r>
        <w:rPr>
          <w:rFonts w:ascii="Calibri" w:cs="Calibri" w:eastAsia="Calibri" w:hAnsi="Calibri"/>
          <w:color w:val="1B1B1B"/>
          <w:sz w:val="22"/>
          <w:szCs w:val="22"/>
        </w:rPr>
        <w:t xml:space="preserve">Caused by PRRS virus; emerging regional concern with structural commercial-pig industry productivity impact; vaccine programmes available; structural biosecurity-and-management protocols.</w:t>
      </w:r>
    </w:p>
    <w:p>
      <w:pPr>
        <w:pStyle w:val="ListParagraph"/>
        <w:numPr>
          <w:ilvl w:val="0"/>
          <w:numId w:val="2"/>
        </w:numPr>
        <w:spacing w:after="80" w:line="290"/>
      </w:pPr>
      <w:r>
        <w:rPr>
          <w:rFonts w:ascii="Calibri" w:cs="Calibri" w:eastAsia="Calibri" w:hAnsi="Calibri"/>
          <w:b/>
          <w:bCs/>
          <w:color w:val="1B1B1B"/>
          <w:sz w:val="22"/>
          <w:szCs w:val="22"/>
        </w:rPr>
        <w:t xml:space="preserve">Erysipelas (bacterial structural concern): </w:t>
      </w:r>
      <w:r>
        <w:rPr>
          <w:rFonts w:ascii="Calibri" w:cs="Calibri" w:eastAsia="Calibri" w:hAnsi="Calibri"/>
          <w:color w:val="1B1B1B"/>
          <w:sz w:val="22"/>
          <w:szCs w:val="22"/>
        </w:rPr>
        <w:t xml:space="preserve">Caused by Erysipelothrix rhusiopathiae; structural commercial-pig disease risk; vaccination programmes structurally available.</w:t>
      </w:r>
    </w:p>
    <w:p>
      <w:pPr>
        <w:pStyle w:val="ListParagraph"/>
        <w:numPr>
          <w:ilvl w:val="0"/>
          <w:numId w:val="2"/>
        </w:numPr>
        <w:spacing w:after="80" w:line="290"/>
      </w:pPr>
      <w:r>
        <w:rPr>
          <w:rFonts w:ascii="Calibri" w:cs="Calibri" w:eastAsia="Calibri" w:hAnsi="Calibri"/>
          <w:b/>
          <w:bCs/>
          <w:color w:val="1B1B1B"/>
          <w:sz w:val="22"/>
          <w:szCs w:val="22"/>
        </w:rPr>
        <w:t xml:space="preserve">Pneumonia complex (multi-pathogen respiratory disease): </w:t>
      </w:r>
      <w:r>
        <w:rPr>
          <w:rFonts w:ascii="Calibri" w:cs="Calibri" w:eastAsia="Calibri" w:hAnsi="Calibri"/>
          <w:color w:val="1B1B1B"/>
          <w:sz w:val="22"/>
          <w:szCs w:val="22"/>
        </w:rPr>
        <w:t xml:space="preserve">Multi-pathogen respiratory disease complex including Mycoplasma hyopneumoniae, Pasteurella multocida, Actinobacillus pleuropneumoniae; structural intensive-pig-operation concern; vaccination-and-biosecurity-and-management protocols.</w:t>
      </w:r>
    </w:p>
    <w:p>
      <w:pPr>
        <w:pStyle w:val="ListParagraph"/>
        <w:numPr>
          <w:ilvl w:val="0"/>
          <w:numId w:val="2"/>
        </w:numPr>
        <w:spacing w:after="80" w:line="290"/>
      </w:pPr>
      <w:r>
        <w:rPr>
          <w:rFonts w:ascii="Calibri" w:cs="Calibri" w:eastAsia="Calibri" w:hAnsi="Calibri"/>
          <w:b/>
          <w:bCs/>
          <w:color w:val="1B1B1B"/>
          <w:sz w:val="22"/>
          <w:szCs w:val="22"/>
        </w:rPr>
        <w:t xml:space="preserve">Trichinosis / Trichinella spiralis (zoonotic concern): </w:t>
      </w:r>
      <w:r>
        <w:rPr>
          <w:rFonts w:ascii="Calibri" w:cs="Calibri" w:eastAsia="Calibri" w:hAnsi="Calibri"/>
          <w:color w:val="1B1B1B"/>
          <w:sz w:val="22"/>
          <w:szCs w:val="22"/>
        </w:rPr>
        <w:t xml:space="preserve">Larval-stage parasitic zoonosis transmitted through inadequately-cooked pork; structural meat-inspection discipline; structural cooked-pork-only food-safety protocol.</w:t>
      </w:r>
    </w:p>
    <w:p>
      <w:pPr>
        <w:pStyle w:val="ListParagraph"/>
        <w:numPr>
          <w:ilvl w:val="0"/>
          <w:numId w:val="2"/>
        </w:numPr>
        <w:spacing w:after="80" w:line="290"/>
      </w:pPr>
      <w:r>
        <w:rPr>
          <w:rFonts w:ascii="Calibri" w:cs="Calibri" w:eastAsia="Calibri" w:hAnsi="Calibri"/>
          <w:b/>
          <w:bCs/>
          <w:color w:val="1B1B1B"/>
          <w:sz w:val="22"/>
          <w:szCs w:val="22"/>
        </w:rPr>
        <w:t xml:space="preserve">Porcine Cysticercosis / Taenia solium (zoonotic concern): </w:t>
      </w:r>
      <w:r>
        <w:rPr>
          <w:rFonts w:ascii="Calibri" w:cs="Calibri" w:eastAsia="Calibri" w:hAnsi="Calibri"/>
          <w:color w:val="1B1B1B"/>
          <w:sz w:val="22"/>
          <w:szCs w:val="22"/>
        </w:rPr>
        <w:t xml:space="preserve">Tapeworm parasite with pig intermediate-host stage and human definitive-host stage; structural smallholder-system concern through poor sanitation-and-hygiene; structural meat-inspection discipline; significant regional rural public-health concern.</w:t>
      </w:r>
    </w:p>
    <w:p>
      <w:pPr>
        <w:pStyle w:val="ListParagraph"/>
        <w:numPr>
          <w:ilvl w:val="0"/>
          <w:numId w:val="2"/>
        </w:numPr>
        <w:spacing w:after="80" w:line="290"/>
      </w:pPr>
      <w:r>
        <w:rPr>
          <w:rFonts w:ascii="Calibri" w:cs="Calibri" w:eastAsia="Calibri" w:hAnsi="Calibri"/>
          <w:b/>
          <w:bCs/>
          <w:color w:val="1B1B1B"/>
          <w:sz w:val="22"/>
          <w:szCs w:val="22"/>
        </w:rPr>
        <w:t xml:space="preserve">Helminthiasis (productivity-loss driver): </w:t>
      </w:r>
      <w:r>
        <w:rPr>
          <w:rFonts w:ascii="Calibri" w:cs="Calibri" w:eastAsia="Calibri" w:hAnsi="Calibri"/>
          <w:color w:val="1B1B1B"/>
          <w:sz w:val="22"/>
          <w:szCs w:val="22"/>
        </w:rPr>
        <w:t xml:space="preserve">Roundworm (Ascaris suum), whipworm, tapeworm; structural productivity-loss driver across regional operations; quarterly deworming protocols principal management approach.</w:t>
      </w:r>
    </w:p>
    <w:p>
      <w:pPr>
        <w:pStyle w:val="ListParagraph"/>
        <w:numPr>
          <w:ilvl w:val="0"/>
          <w:numId w:val="2"/>
        </w:numPr>
        <w:spacing w:after="80" w:line="290"/>
      </w:pPr>
      <w:r>
        <w:rPr>
          <w:rFonts w:ascii="Calibri" w:cs="Calibri" w:eastAsia="Calibri" w:hAnsi="Calibri"/>
          <w:b/>
          <w:bCs/>
          <w:color w:val="1B1B1B"/>
          <w:sz w:val="22"/>
          <w:szCs w:val="22"/>
        </w:rPr>
        <w:t xml:space="preserve">Mange and external parasites: </w:t>
      </w:r>
      <w:r>
        <w:rPr>
          <w:rFonts w:ascii="Calibri" w:cs="Calibri" w:eastAsia="Calibri" w:hAnsi="Calibri"/>
          <w:color w:val="1B1B1B"/>
          <w:sz w:val="22"/>
          <w:szCs w:val="22"/>
        </w:rPr>
        <w:t xml:space="preserve">Sarcoptic mange (Sarcoptes scabiei var. suis) and external parasites; structural commercial-pig and smallholder-pig welfare-and-productivity concern; acaricide-and-management protocols.</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ASF biosecurity infrastructure scale-up (the structural commercial-development vector): </w:t>
      </w:r>
      <w:r>
        <w:rPr>
          <w:rFonts w:ascii="Calibri" w:cs="Calibri" w:eastAsia="Calibri" w:hAnsi="Calibri"/>
          <w:color w:val="1B1B1B"/>
          <w:sz w:val="22"/>
          <w:szCs w:val="22"/>
        </w:rPr>
        <w:t xml:space="preserve">Cooperative-and-commercial pig biosecurity infrastructure (controlled-access farms, vehicle-and-personnel disinfection, isolated quarantine-housing, structural ASF-monitoring-and-response capacity) emerging regionally; significant trajectory through 2024–2026 alongside Farmer’s Choice contract supply expansion.</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pig veterinary networks: </w:t>
      </w:r>
      <w:r>
        <w:rPr>
          <w:rFonts w:ascii="Calibri" w:cs="Calibri" w:eastAsia="Calibri" w:hAnsi="Calibri"/>
          <w:color w:val="1B1B1B"/>
          <w:sz w:val="22"/>
          <w:szCs w:val="22"/>
        </w:rPr>
        <w:t xml:space="preserve">Emerging cooperative pig-cooperative-affiliated para-veterinary technician networks providing structurally important smallholder veterinary access; significant trajectory through 2024–2026 alongside cooperative pig commercial-development.</w:t>
      </w:r>
    </w:p>
    <w:p>
      <w:pPr>
        <w:pStyle w:val="ListParagraph"/>
        <w:numPr>
          <w:ilvl w:val="0"/>
          <w:numId w:val="2"/>
        </w:numPr>
        <w:spacing w:after="80" w:line="290"/>
      </w:pPr>
      <w:r>
        <w:rPr>
          <w:rFonts w:ascii="Calibri" w:cs="Calibri" w:eastAsia="Calibri" w:hAnsi="Calibri"/>
          <w:b/>
          <w:bCs/>
          <w:color w:val="1B1B1B"/>
          <w:sz w:val="22"/>
          <w:szCs w:val="22"/>
        </w:rPr>
        <w:t xml:space="preserve">ASF research-and-extension programmes: </w:t>
      </w:r>
      <w:r>
        <w:rPr>
          <w:rFonts w:ascii="Calibri" w:cs="Calibri" w:eastAsia="Calibri" w:hAnsi="Calibri"/>
          <w:color w:val="1B1B1B"/>
          <w:sz w:val="22"/>
          <w:szCs w:val="22"/>
        </w:rPr>
        <w:t xml:space="preserve">Emerging ASF-management research-and-extension programmes through KALRO, TARI, NaLIRRI, RAB, ISABU regional livestock research institutions; emerging regional commercial-development trajectory.</w:t>
      </w:r>
    </w:p>
    <w:p>
      <w:pPr>
        <w:pStyle w:val="ListParagraph"/>
        <w:numPr>
          <w:ilvl w:val="0"/>
          <w:numId w:val="2"/>
        </w:numPr>
        <w:spacing w:after="80" w:line="290"/>
      </w:pPr>
      <w:r>
        <w:rPr>
          <w:rFonts w:ascii="Calibri" w:cs="Calibri" w:eastAsia="Calibri" w:hAnsi="Calibri"/>
          <w:b/>
          <w:bCs/>
          <w:color w:val="1B1B1B"/>
          <w:sz w:val="22"/>
          <w:szCs w:val="22"/>
        </w:rPr>
        <w:t xml:space="preserve">Public-health zoonosis-management programmes: </w:t>
      </w:r>
      <w:r>
        <w:rPr>
          <w:rFonts w:ascii="Calibri" w:cs="Calibri" w:eastAsia="Calibri" w:hAnsi="Calibri"/>
          <w:color w:val="1B1B1B"/>
          <w:sz w:val="22"/>
          <w:szCs w:val="22"/>
        </w:rPr>
        <w:t xml:space="preserve">Trichinosis-and-cysticercosis public-health management programmes through emerging meat-inspection capacity expansion and structural sanitation-and-hygiene smallholder extension; significant regional public-health trajectory.</w:t>
      </w:r>
    </w:p>
    <w:p>
      <w:pPr>
        <w:pStyle w:val="ListParagraph"/>
        <w:numPr>
          <w:ilvl w:val="0"/>
          <w:numId w:val="2"/>
        </w:numPr>
        <w:spacing w:after="80" w:line="290"/>
      </w:pPr>
      <w:r>
        <w:rPr>
          <w:rFonts w:ascii="Calibri" w:cs="Calibri" w:eastAsia="Calibri" w:hAnsi="Calibri"/>
          <w:b/>
          <w:bCs/>
          <w:color w:val="1B1B1B"/>
          <w:sz w:val="22"/>
          <w:szCs w:val="22"/>
        </w:rPr>
        <w:t xml:space="preserve">Antibiotic stewardship: </w:t>
      </w:r>
      <w:r>
        <w:rPr>
          <w:rFonts w:ascii="Calibri" w:cs="Calibri" w:eastAsia="Calibri" w:hAnsi="Calibri"/>
          <w:color w:val="1B1B1B"/>
          <w:sz w:val="22"/>
          <w:szCs w:val="22"/>
        </w:rPr>
        <w:t xml:space="preserve">Emerging regional antibiotic stewardship programmes addressing antimicrobial resistance concerns; HACCP-aligned pig production protocols; structural alignment with international AMR frameworks.</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veterinary services; emerging organic pig operations with restricted antibiotic protocols; specialty single-origin pig operations integrating animal-welfare and biosecurity-protocol differentiation.</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ASF biosecurity protocols: structural OIE-aligned ASF prevention-and-control framework; controlled-access farms; swill-feeding heat-treatment requirements; structural testing-and-quarantine-and-culling protocols.</w:t>
      </w:r>
    </w:p>
    <w:p>
      <w:pPr>
        <w:pStyle w:val="ListParagraph"/>
        <w:numPr>
          <w:ilvl w:val="0"/>
          <w:numId w:val="2"/>
        </w:numPr>
        <w:spacing w:after="80" w:line="290"/>
      </w:pPr>
      <w:r>
        <w:rPr>
          <w:rFonts w:ascii="Calibri" w:cs="Calibri" w:eastAsia="Calibri" w:hAnsi="Calibri"/>
          <w:color w:val="1B1B1B"/>
          <w:sz w:val="22"/>
          <w:szCs w:val="22"/>
        </w:rPr>
        <w:t xml:space="preserve">CSF vaccination: typical annual CSF vaccination programmes; emerging regional vaccine availability and adoption.</w:t>
      </w:r>
    </w:p>
    <w:p>
      <w:pPr>
        <w:pStyle w:val="ListParagraph"/>
        <w:numPr>
          <w:ilvl w:val="0"/>
          <w:numId w:val="2"/>
        </w:numPr>
        <w:spacing w:after="80" w:line="290"/>
      </w:pPr>
      <w:r>
        <w:rPr>
          <w:rFonts w:ascii="Calibri" w:cs="Calibri" w:eastAsia="Calibri" w:hAnsi="Calibri"/>
          <w:color w:val="1B1B1B"/>
          <w:sz w:val="22"/>
          <w:szCs w:val="22"/>
        </w:rPr>
        <w:t xml:space="preserve">Erysipelas vaccination: typical commercial-pig vaccination programmes.</w:t>
      </w:r>
    </w:p>
    <w:p>
      <w:pPr>
        <w:pStyle w:val="ListParagraph"/>
        <w:numPr>
          <w:ilvl w:val="0"/>
          <w:numId w:val="2"/>
        </w:numPr>
        <w:spacing w:after="80" w:line="290"/>
      </w:pPr>
      <w:r>
        <w:rPr>
          <w:rFonts w:ascii="Calibri" w:cs="Calibri" w:eastAsia="Calibri" w:hAnsi="Calibri"/>
          <w:color w:val="1B1B1B"/>
          <w:sz w:val="22"/>
          <w:szCs w:val="22"/>
        </w:rPr>
        <w:t xml:space="preserve">Anthelmintic protocols: typical quarterly deworming.</w:t>
      </w:r>
    </w:p>
    <w:p>
      <w:pPr>
        <w:pStyle w:val="ListParagraph"/>
        <w:numPr>
          <w:ilvl w:val="0"/>
          <w:numId w:val="2"/>
        </w:numPr>
        <w:spacing w:after="80" w:line="290"/>
      </w:pPr>
      <w:r>
        <w:rPr>
          <w:rFonts w:ascii="Calibri" w:cs="Calibri" w:eastAsia="Calibri" w:hAnsi="Calibri"/>
          <w:color w:val="1B1B1B"/>
          <w:sz w:val="22"/>
          <w:szCs w:val="22"/>
        </w:rPr>
        <w:t xml:space="preserve">Antibiotic withdrawal periods: typically 14–28 days before slaughter; structural meat-residue-control protocol.</w:t>
      </w:r>
    </w:p>
    <w:p>
      <w:pPr>
        <w:pStyle w:val="ListParagraph"/>
        <w:numPr>
          <w:ilvl w:val="0"/>
          <w:numId w:val="2"/>
        </w:numPr>
        <w:spacing w:after="80" w:line="290"/>
      </w:pPr>
      <w:r>
        <w:rPr>
          <w:rFonts w:ascii="Calibri" w:cs="Calibri" w:eastAsia="Calibri" w:hAnsi="Calibri"/>
          <w:color w:val="1B1B1B"/>
          <w:sz w:val="22"/>
          <w:szCs w:val="22"/>
        </w:rPr>
        <w:t xml:space="preserve">Meat inspection: structural Trichinosis-and-Cysticercosis inspection discipline at licensed slaughter operations.</w:t>
      </w:r>
    </w:p>
    <w:p>
      <w:pPr>
        <w:pStyle w:val="ListParagraph"/>
        <w:numPr>
          <w:ilvl w:val="0"/>
          <w:numId w:val="2"/>
        </w:numPr>
        <w:spacing w:after="80" w:line="290"/>
      </w:pPr>
      <w:r>
        <w:rPr>
          <w:rFonts w:ascii="Calibri" w:cs="Calibri" w:eastAsia="Calibri" w:hAnsi="Calibri"/>
          <w:color w:val="1B1B1B"/>
          <w:sz w:val="22"/>
          <w:szCs w:val="22"/>
        </w:rPr>
        <w:t xml:space="preserve">Certification: OIE-aligned regional standards; KEBS, TBS, UNBS, RSB, BBS standards apply; emerging GLOBAL G.A.P. and similar premium-pork frameworks.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Government veterinary: DVS Kenya, Kabete; KEVEVAPI for regional vaccine production. Private veterinary: Kenya Veterinary Association members; Farmer’s Choice integrated veterinary capacity. Para-veterinary: emerging cooperative pig networks. Vaccines: Cooper Kenya; Norvet Pharmaceuticals; Highchem East Africa; ULTRAVETIS East Africa.</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Government veterinary: Tanzania Veterinary Services; TVLA. Private veterinary: Veterinary Council of Tanzania members. Para-veterinary: emerging cooperative networks; AGCOT-cluster-affiliated extension.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Government veterinary: MAAIF Veterinary Services; NaLIRRI; NADDEC. Private veterinary: Uganda Veterinary Association. Cooperative pig veterinary networks: PPM-U-affiliated and similar emerging operations.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Government veterinary: RAB Animal Resources Department. Private veterinary: emerging professional infrastructure.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Government veterinary: ISABU livestock division; Ministry of Environment, Agriculture and Livestock veterinary services.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Pig veterinary services and animal health are structurally distinctive among regional livestock industries due to the ASF threat that structurally shapes all pig industry operational decisions. ASF biosecurity discipline is the structural foundational productivity-protection-and-export-access vector; CSF, FMD, PRRS, Erysipelas, pneumonia-complex, Trichinosis, Cysticercosis, and helminth-burden management together comprise the regional pig disease pressure landscape.</w:t>
      </w:r>
    </w:p>
    <w:p>
      <w:pPr>
        <w:spacing w:after="120" w:line="300"/>
      </w:pPr>
      <w:r>
        <w:rPr>
          <w:rFonts w:ascii="Calibri" w:cs="Calibri" w:eastAsia="Calibri" w:hAnsi="Calibri"/>
          <w:color w:val="1B1B1B"/>
          <w:sz w:val="22"/>
          <w:szCs w:val="22"/>
        </w:rPr>
        <w:t xml:space="preserve">For commercial pig operators, the actionable rule is structural ASF biosecurity discipline anchored by controlled-access protocols, swill-feeding heat-treatment, structured CSF-and-Erysipelas-and-pneumonia vaccination, and quarterly deworming. For smallholder pig producers, participation in cooperative-affiliated pig veterinary networks with structured biosecurity protocol adherence anchors the smallholder commercial-development pathway. For impact investors and governments, scaling cooperative smallholder pig biosecurity infrastructure and structured veterinary inspection capacity anchors the regional pig industry productivity-protection commercial-development trajectory.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05</w:t>
            </w:r>
          </w:p>
          <w:p>
            <w:pPr>
              <w:spacing w:after="40"/>
            </w:pPr>
            <w:r>
              <w:rPr>
                <w:rFonts w:ascii="Calibri" w:cs="Calibri" w:eastAsia="Calibri" w:hAnsi="Calibri"/>
                <w:b/>
                <w:bCs/>
                <w:color w:val="FFFFFF"/>
                <w:sz w:val="36"/>
                <w:szCs w:val="36"/>
              </w:rPr>
              <w:t xml:space="preserve">Slaughter, Carcass Quality &amp; Cold Chain</w:t>
            </w:r>
          </w:p>
          <w:p>
            <w:r>
              <w:rPr>
                <w:rFonts w:ascii="Calibri" w:cs="Calibri" w:eastAsia="Calibri" w:hAnsi="Calibri"/>
                <w:i/>
                <w:iCs/>
                <w:color w:val="FFFFFF"/>
                <w:sz w:val="20"/>
                <w:szCs w:val="20"/>
              </w:rPr>
              <w:t xml:space="preserve">Slaughterhouse  •  Carcass grading  •  Cold-chain logistics</w:t>
            </w:r>
            <w:r>
              <w:rPr>
                <w:rFonts w:ascii="Calibri" w:cs="Calibri" w:eastAsia="Calibri" w:hAnsi="Calibri"/>
                <w:color w:val="FFFFFF"/>
                <w:sz w:val="20"/>
                <w:szCs w:val="20"/>
              </w:rPr>
              <w:t xml:space="preserve">   •   Uchinjaji wa nguruwe (Sw)  •  Carcass-and-cold-chain discipline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QUALITY PARAMETERS</w:t>
            </w:r>
          </w:p>
          <w:p>
            <w:r>
              <w:rPr>
                <w:rFonts w:ascii="Calibri" w:cs="Calibri" w:eastAsia="Calibri" w:hAnsi="Calibri"/>
                <w:color w:val="1B1B1B"/>
                <w:sz w:val="20"/>
                <w:szCs w:val="20"/>
              </w:rPr>
              <w:t xml:space="preserve">Carcass weight; conformation; backfat thickness; meat colour; pH; shelf life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COLD-CHAIN TARGET</w:t>
            </w:r>
          </w:p>
          <w:p>
            <w:r>
              <w:rPr>
                <w:rFonts w:ascii="Calibri" w:cs="Calibri" w:eastAsia="Calibri" w:hAnsi="Calibri"/>
                <w:color w:val="1B1B1B"/>
                <w:sz w:val="20"/>
                <w:szCs w:val="20"/>
              </w:rPr>
              <w:t xml:space="preserve">Hot-carcass cooling to 4°C within 12–18 hours; maintain 0–4°C through processing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CARCASS YIELD</w:t>
            </w:r>
          </w:p>
          <w:p>
            <w:r>
              <w:rPr>
                <w:rFonts w:ascii="Calibri" w:cs="Calibri" w:eastAsia="Calibri" w:hAnsi="Calibri"/>
                <w:color w:val="1B1B1B"/>
                <w:sz w:val="20"/>
                <w:szCs w:val="20"/>
              </w:rPr>
              <w:t xml:space="preserve">Pig carcass yield typically 75–80% (higher than cattle/small-ruminants due to skin retention)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Cold-chain access determines premium-grade pricing; structural smallholder informal-trade gap</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Pig slaughter-and-carcass-quality-and-cold-chain together determine commercial-grade pricing access. Quality-graded pork from licensed slaughter operations with appropriate cold-chain handling commands 30–100% premium over informal-market mixed-grade trade; the licensed slaughter-and-cold-chain infrastructure that captures the premium is anchored regionally by Farmer’s Choice (Kenya, the regional reference) and emerging Tanzanian, Ugandan, Rwandan operators. Five quality parameters anchor regional commercial pork economics: carcass weight (typically 60–100 kg); conformation (the muscle-development indicator); backfat thickness (the structural lean-to-fat ratio indicator for premium-grade); meat colour (the freshness-and-quality indicator); and pH (5.4–5.7 for premium-grade post-rigor mortis).</w:t>
      </w:r>
    </w:p>
    <w:p>
      <w:pPr>
        <w:spacing w:after="120" w:line="300"/>
      </w:pPr>
      <w:r>
        <w:rPr>
          <w:rFonts w:ascii="Calibri" w:cs="Calibri" w:eastAsia="Calibri" w:hAnsi="Calibri"/>
          <w:color w:val="1B1B1B"/>
          <w:sz w:val="22"/>
          <w:szCs w:val="22"/>
        </w:rPr>
        <w:t xml:space="preserve">Pig carcass yield is structurally higher than cattle-and-small-ruminants at 75–80% of live weight (compared to 50–60% for cattle and 40–55% for small-ruminants); this reflects pig anatomy (proportionally less bone, structurally retained skin in carcass weight, structurally higher muscle-and-fat content). Pig commercial-grade slaughter-weight typically 80–110 kg live-weight reaching 60–100 kg carcass-weight; premium-grade typically targets 90–100 kg live-weight finished pigs with structural backfat-and-muscle-development characteristics. Halal-export structural non-applicability (pork prohibited in Islamic markets) drives entirely domestic-and-regional commercial trajectory.</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Carcass weight (the commercial-grade indicator): </w:t>
      </w:r>
      <w:r>
        <w:rPr>
          <w:rFonts w:ascii="Calibri" w:cs="Calibri" w:eastAsia="Calibri" w:hAnsi="Calibri"/>
          <w:color w:val="1B1B1B"/>
          <w:sz w:val="22"/>
          <w:szCs w:val="22"/>
        </w:rPr>
        <w:t xml:space="preserve">Premium-grade typically 70–100 kg carcass weight (corresponding to 90–130 kg live-weight commercial pigs); standard-grade 60–70 kg; commercial-grade typically below 60 kg. Cattle-finishing programmes structurally target premium carcass-weight ranges.</w:t>
      </w:r>
    </w:p>
    <w:p>
      <w:pPr>
        <w:pStyle w:val="ListParagraph"/>
        <w:numPr>
          <w:ilvl w:val="0"/>
          <w:numId w:val="2"/>
        </w:numPr>
        <w:spacing w:after="80" w:line="290"/>
      </w:pPr>
      <w:r>
        <w:rPr>
          <w:rFonts w:ascii="Calibri" w:cs="Calibri" w:eastAsia="Calibri" w:hAnsi="Calibri"/>
          <w:b/>
          <w:bCs/>
          <w:color w:val="1B1B1B"/>
          <w:sz w:val="22"/>
          <w:szCs w:val="22"/>
        </w:rPr>
        <w:t xml:space="preserve">Backfat thickness (the lean-fat ratio indicator): </w:t>
      </w:r>
      <w:r>
        <w:rPr>
          <w:rFonts w:ascii="Calibri" w:cs="Calibri" w:eastAsia="Calibri" w:hAnsi="Calibri"/>
          <w:color w:val="1B1B1B"/>
          <w:sz w:val="22"/>
          <w:szCs w:val="22"/>
        </w:rPr>
        <w:t xml:space="preserve">Premium-grade typically 10–20 mm backfat thickness; structural genetic-and-nutritional management discipline for finishing pigs; emerging regional commercial-grade pricing differentiation.</w:t>
      </w:r>
    </w:p>
    <w:p>
      <w:pPr>
        <w:pStyle w:val="ListParagraph"/>
        <w:numPr>
          <w:ilvl w:val="0"/>
          <w:numId w:val="2"/>
        </w:numPr>
        <w:spacing w:after="80" w:line="290"/>
      </w:pPr>
      <w:r>
        <w:rPr>
          <w:rFonts w:ascii="Calibri" w:cs="Calibri" w:eastAsia="Calibri" w:hAnsi="Calibri"/>
          <w:b/>
          <w:bCs/>
          <w:color w:val="1B1B1B"/>
          <w:sz w:val="22"/>
          <w:szCs w:val="22"/>
        </w:rPr>
        <w:t xml:space="preserve">Conformation, meat colour, and pH (additional quality indicators): </w:t>
      </w:r>
      <w:r>
        <w:rPr>
          <w:rFonts w:ascii="Calibri" w:cs="Calibri" w:eastAsia="Calibri" w:hAnsi="Calibri"/>
          <w:color w:val="1B1B1B"/>
          <w:sz w:val="22"/>
          <w:szCs w:val="22"/>
        </w:rPr>
        <w:t xml:space="preserve">Carcass conformation grading; meat colour (cherry-pink premium-grade); pH 5.4–5.7 for premium-grade post-rigor mortis; structural slaughter-protocol-and-cold-chain quality determinants.</w:t>
      </w:r>
    </w:p>
    <w:p>
      <w:pPr>
        <w:pStyle w:val="ListParagraph"/>
        <w:numPr>
          <w:ilvl w:val="0"/>
          <w:numId w:val="2"/>
        </w:numPr>
        <w:spacing w:after="80" w:line="290"/>
      </w:pPr>
      <w:r>
        <w:rPr>
          <w:rFonts w:ascii="Calibri" w:cs="Calibri" w:eastAsia="Calibri" w:hAnsi="Calibri"/>
          <w:b/>
          <w:bCs/>
          <w:color w:val="1B1B1B"/>
          <w:sz w:val="22"/>
          <w:szCs w:val="22"/>
        </w:rPr>
        <w:t xml:space="preserve">Hot-carcass cooling (the foundational cold-chain step): </w:t>
      </w:r>
      <w:r>
        <w:rPr>
          <w:rFonts w:ascii="Calibri" w:cs="Calibri" w:eastAsia="Calibri" w:hAnsi="Calibri"/>
          <w:color w:val="1B1B1B"/>
          <w:sz w:val="22"/>
          <w:szCs w:val="22"/>
        </w:rPr>
        <w:t xml:space="preserve">Cooling pig carcasses to 0–4°C within 12–18 hours of slaughter; structural commercial-grade-and-shelf-life discipline.</w:t>
      </w:r>
    </w:p>
    <w:p>
      <w:pPr>
        <w:pStyle w:val="ListParagraph"/>
        <w:numPr>
          <w:ilvl w:val="0"/>
          <w:numId w:val="2"/>
        </w:numPr>
        <w:spacing w:after="80" w:line="290"/>
      </w:pPr>
      <w:r>
        <w:rPr>
          <w:rFonts w:ascii="Calibri" w:cs="Calibri" w:eastAsia="Calibri" w:hAnsi="Calibri"/>
          <w:b/>
          <w:bCs/>
          <w:color w:val="1B1B1B"/>
          <w:sz w:val="22"/>
          <w:szCs w:val="22"/>
        </w:rPr>
        <w:t xml:space="preserve">Carcass aging (chilled, limited): </w:t>
      </w:r>
      <w:r>
        <w:rPr>
          <w:rFonts w:ascii="Calibri" w:cs="Calibri" w:eastAsia="Calibri" w:hAnsi="Calibri"/>
          <w:color w:val="1B1B1B"/>
          <w:sz w:val="22"/>
          <w:szCs w:val="22"/>
        </w:rPr>
        <w:t xml:space="preserve">Less aging-discipline-significant than for beef; typically 3–7 day chilled aging for premium grade; structural shorter aging period than dry-aged beef.</w:t>
      </w:r>
    </w:p>
    <w:p>
      <w:pPr>
        <w:pStyle w:val="ListParagraph"/>
        <w:numPr>
          <w:ilvl w:val="0"/>
          <w:numId w:val="2"/>
        </w:numPr>
        <w:spacing w:after="80" w:line="290"/>
      </w:pPr>
      <w:r>
        <w:rPr>
          <w:rFonts w:ascii="Calibri" w:cs="Calibri" w:eastAsia="Calibri" w:hAnsi="Calibri"/>
          <w:b/>
          <w:bCs/>
          <w:color w:val="1B1B1B"/>
          <w:sz w:val="22"/>
          <w:szCs w:val="22"/>
        </w:rPr>
        <w:t xml:space="preserve">Slaughter operations: </w:t>
      </w:r>
      <w:r>
        <w:rPr>
          <w:rFonts w:ascii="Calibri" w:cs="Calibri" w:eastAsia="Calibri" w:hAnsi="Calibri"/>
          <w:color w:val="1B1B1B"/>
          <w:sz w:val="22"/>
          <w:szCs w:val="22"/>
        </w:rPr>
        <w:t xml:space="preserve">Licensed commercial slaughterhouses (Farmer’s Choice integrated operations — the Kenyan regional reference; emerging private commercial operators across regional countries; significant regional informal slaughter sector with structural commercial-grade-access concerns).</w:t>
      </w:r>
    </w:p>
    <w:p>
      <w:pPr>
        <w:pStyle w:val="ListParagraph"/>
        <w:numPr>
          <w:ilvl w:val="0"/>
          <w:numId w:val="2"/>
        </w:numPr>
        <w:spacing w:after="80" w:line="290"/>
      </w:pPr>
      <w:r>
        <w:rPr>
          <w:rFonts w:ascii="Calibri" w:cs="Calibri" w:eastAsia="Calibri" w:hAnsi="Calibri"/>
          <w:b/>
          <w:bCs/>
          <w:color w:val="1B1B1B"/>
          <w:sz w:val="22"/>
          <w:szCs w:val="22"/>
        </w:rPr>
        <w:t xml:space="preserve">Trichinosis-and-Cysticercosis meat inspection: </w:t>
      </w:r>
      <w:r>
        <w:rPr>
          <w:rFonts w:ascii="Calibri" w:cs="Calibri" w:eastAsia="Calibri" w:hAnsi="Calibri"/>
          <w:color w:val="1B1B1B"/>
          <w:sz w:val="22"/>
          <w:szCs w:val="22"/>
        </w:rPr>
        <w:t xml:space="preserve">Structural meat-inspection discipline at licensed slaughter operations addressing zoonotic Trichinosis-and-Cysticercosis concerns; emerging regional inspection capacity expansion.</w:t>
      </w:r>
    </w:p>
    <w:p>
      <w:pPr>
        <w:pStyle w:val="ListParagraph"/>
        <w:numPr>
          <w:ilvl w:val="0"/>
          <w:numId w:val="2"/>
        </w:numPr>
        <w:spacing w:after="80" w:line="290"/>
      </w:pPr>
      <w:r>
        <w:rPr>
          <w:rFonts w:ascii="Calibri" w:cs="Calibri" w:eastAsia="Calibri" w:hAnsi="Calibri"/>
          <w:b/>
          <w:bCs/>
          <w:color w:val="1B1B1B"/>
          <w:sz w:val="22"/>
          <w:szCs w:val="22"/>
        </w:rPr>
        <w:t xml:space="preserve">Cold-chain logistics infrastructure: </w:t>
      </w:r>
      <w:r>
        <w:rPr>
          <w:rFonts w:ascii="Calibri" w:cs="Calibri" w:eastAsia="Calibri" w:hAnsi="Calibri"/>
          <w:color w:val="1B1B1B"/>
          <w:sz w:val="22"/>
          <w:szCs w:val="22"/>
        </w:rPr>
        <w:t xml:space="preserve">Refrigerated transport (reefer trucks); insulated containers; cold-chain-integrated retail handling; structural rural-to-urban cold-chain logistics infrastructure.</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Premium retail cold-chain infrastructure expansion: </w:t>
      </w:r>
      <w:r>
        <w:rPr>
          <w:rFonts w:ascii="Calibri" w:cs="Calibri" w:eastAsia="Calibri" w:hAnsi="Calibri"/>
          <w:color w:val="1B1B1B"/>
          <w:sz w:val="22"/>
          <w:szCs w:val="22"/>
        </w:rPr>
        <w:t xml:space="preserve">Farmer’s Choice premium portfolio (Kenya); emerging supermarket premium-pork categories (Naivas, Carrefour, Quickmart cold-chain butcheries); emerging Dar es Salaam, Kampala, Kigali premium retail expansion;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slaughterhouse infrastructure: </w:t>
      </w:r>
      <w:r>
        <w:rPr>
          <w:rFonts w:ascii="Calibri" w:cs="Calibri" w:eastAsia="Calibri" w:hAnsi="Calibri"/>
          <w:color w:val="1B1B1B"/>
          <w:sz w:val="22"/>
          <w:szCs w:val="22"/>
        </w:rPr>
        <w:t xml:space="preserve">Emerging cooperative smallholder-affiliated slaughterhouse infrastructure addressing the structural smallholder informal-trade commercial-grade-access gap;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Bacon-and-ham-and-sausage processing scale-up: </w:t>
      </w:r>
      <w:r>
        <w:rPr>
          <w:rFonts w:ascii="Calibri" w:cs="Calibri" w:eastAsia="Calibri" w:hAnsi="Calibri"/>
          <w:color w:val="1B1B1B"/>
          <w:sz w:val="22"/>
          <w:szCs w:val="22"/>
        </w:rPr>
        <w:t xml:space="preserve">Premium pork-product processing operations (Farmer’s Choice premium portfolio; emerging regional operators); significant trajectory through 2024–2026 urban premium-retail integration.</w:t>
      </w:r>
    </w:p>
    <w:p>
      <w:pPr>
        <w:pStyle w:val="ListParagraph"/>
        <w:numPr>
          <w:ilvl w:val="0"/>
          <w:numId w:val="2"/>
        </w:numPr>
        <w:spacing w:after="80" w:line="290"/>
      </w:pPr>
      <w:r>
        <w:rPr>
          <w:rFonts w:ascii="Calibri" w:cs="Calibri" w:eastAsia="Calibri" w:hAnsi="Calibri"/>
          <w:b/>
          <w:bCs/>
          <w:color w:val="1B1B1B"/>
          <w:sz w:val="22"/>
          <w:szCs w:val="22"/>
        </w:rPr>
        <w:t xml:space="preserve">Specialty cuts and premium-aging operations: </w:t>
      </w:r>
      <w:r>
        <w:rPr>
          <w:rFonts w:ascii="Calibri" w:cs="Calibri" w:eastAsia="Calibri" w:hAnsi="Calibri"/>
          <w:color w:val="1B1B1B"/>
          <w:sz w:val="22"/>
          <w:szCs w:val="22"/>
        </w:rPr>
        <w:t xml:space="preserve">Emerging specialty butcher-and-restaurant-supply operations; emerging premium dry-aged pork specialty (very limited current regional commercial scale).</w:t>
      </w:r>
    </w:p>
    <w:p>
      <w:pPr>
        <w:pStyle w:val="ListParagraph"/>
        <w:numPr>
          <w:ilvl w:val="0"/>
          <w:numId w:val="2"/>
        </w:numPr>
        <w:spacing w:after="80" w:line="290"/>
      </w:pPr>
      <w:r>
        <w:rPr>
          <w:rFonts w:ascii="Calibri" w:cs="Calibri" w:eastAsia="Calibri" w:hAnsi="Calibri"/>
          <w:b/>
          <w:bCs/>
          <w:color w:val="1B1B1B"/>
          <w:sz w:val="22"/>
          <w:szCs w:val="22"/>
        </w:rPr>
        <w:t xml:space="preserve">Cold-chain logistics infrastructure expansion: </w:t>
      </w:r>
      <w:r>
        <w:rPr>
          <w:rFonts w:ascii="Calibri" w:cs="Calibri" w:eastAsia="Calibri" w:hAnsi="Calibri"/>
          <w:color w:val="1B1B1B"/>
          <w:sz w:val="22"/>
          <w:szCs w:val="22"/>
        </w:rPr>
        <w:t xml:space="preserve">Refrigerated transport infrastructure expansion across regional commercial pork supply chains; structural rural-to-urban cold-chain logistics infrastructure trajectory.</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highland pork brands; emerging organic-certified pork operations; specialty cuts and premium retail differentiation; emerging artisan cured-pork-and-bacon-and-charcuterie commercial product lines.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Slaughter operations: licensed-and-inspected facilities anchored by DVS-equivalent regional regulatory authorities.</w:t>
      </w:r>
    </w:p>
    <w:p>
      <w:pPr>
        <w:pStyle w:val="ListParagraph"/>
        <w:numPr>
          <w:ilvl w:val="0"/>
          <w:numId w:val="2"/>
        </w:numPr>
        <w:spacing w:after="80" w:line="290"/>
      </w:pPr>
      <w:r>
        <w:rPr>
          <w:rFonts w:ascii="Calibri" w:cs="Calibri" w:eastAsia="Calibri" w:hAnsi="Calibri"/>
          <w:color w:val="1B1B1B"/>
          <w:sz w:val="22"/>
          <w:szCs w:val="22"/>
        </w:rPr>
        <w:t xml:space="preserve">Carcass grading: emerging regional grading frameworks; emerging GLOBAL G.A.P. and equivalent international-aligned commercial protocols.</w:t>
      </w:r>
    </w:p>
    <w:p>
      <w:pPr>
        <w:pStyle w:val="ListParagraph"/>
        <w:numPr>
          <w:ilvl w:val="0"/>
          <w:numId w:val="2"/>
        </w:numPr>
        <w:spacing w:after="80" w:line="290"/>
      </w:pPr>
      <w:r>
        <w:rPr>
          <w:rFonts w:ascii="Calibri" w:cs="Calibri" w:eastAsia="Calibri" w:hAnsi="Calibri"/>
          <w:color w:val="1B1B1B"/>
          <w:sz w:val="22"/>
          <w:szCs w:val="22"/>
        </w:rPr>
        <w:t xml:space="preserve">Hot-carcass cooling: 4°C within 12–18 hours of slaughter for commercial-grade.</w:t>
      </w:r>
    </w:p>
    <w:p>
      <w:pPr>
        <w:pStyle w:val="ListParagraph"/>
        <w:numPr>
          <w:ilvl w:val="0"/>
          <w:numId w:val="2"/>
        </w:numPr>
        <w:spacing w:after="80" w:line="290"/>
      </w:pPr>
      <w:r>
        <w:rPr>
          <w:rFonts w:ascii="Calibri" w:cs="Calibri" w:eastAsia="Calibri" w:hAnsi="Calibri"/>
          <w:color w:val="1B1B1B"/>
          <w:sz w:val="22"/>
          <w:szCs w:val="22"/>
        </w:rPr>
        <w:t xml:space="preserve">Trichinosis-and-Cysticercosis inspection: structural meat-inspection discipline; emerging regional inspection capacity expansion.</w:t>
      </w:r>
    </w:p>
    <w:p>
      <w:pPr>
        <w:pStyle w:val="ListParagraph"/>
        <w:numPr>
          <w:ilvl w:val="0"/>
          <w:numId w:val="2"/>
        </w:numPr>
        <w:spacing w:after="80" w:line="290"/>
      </w:pPr>
      <w:r>
        <w:rPr>
          <w:rFonts w:ascii="Calibri" w:cs="Calibri" w:eastAsia="Calibri" w:hAnsi="Calibri"/>
          <w:color w:val="1B1B1B"/>
          <w:sz w:val="22"/>
          <w:szCs w:val="22"/>
        </w:rPr>
        <w:t xml:space="preserve">Cold-chain temperature: 0–4°C through processing-and-distribution; never above 7°C in commercial cold-chain.</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HACCP and ISO 22000 for premium pork operations; emerging organic certification.</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Slaughter operations: Farmer’s Choice integrated slaughter-and-processing (the regional reference); Choppies/Quality Meat Packers integration; emerging private commercial operators. Cold-chain infrastructure: Davis &amp; Shirtliff cold-chain equipment; Frigoken Kenya; private commercial operators. Regulatory: DVS Kenya; KEBS.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Slaughter operations: emerging private commercial operators; AGCOT-cluster-affiliated emerging operations; cooperative smallholder slaughter infrastructure development. Regulatory: Tanzania Meat Board; TBS.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Slaughter operations: emerging private commercial operators; PPM-U-affiliated cooperative operations; emerging Kampala-area commercial slaughter infrastructure. Regulatory: Uganda DVS; UNBS.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Slaughter operations: emerging cooperative-and-commercial operations. Regulatory: RSB.</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Slaughter operations: emerging cooperative-and-commercial operations. Regulatory: BBS.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Pig slaughter-and-carcass-quality-and-cold-chain together determine commercial-grade pricing access across the regional industry. The structural Farmer’s Choice Kenyan regional reference, emerging Tanzanian, Ugandan, Rwandan, Burundian commercial operators, and structural smallholder informal-trade commercial-grade-access gap together define the regional pig commercial-development priority structure.</w:t>
      </w:r>
    </w:p>
    <w:p>
      <w:pPr>
        <w:spacing w:after="120" w:line="300"/>
      </w:pPr>
      <w:r>
        <w:rPr>
          <w:rFonts w:ascii="Calibri" w:cs="Calibri" w:eastAsia="Calibri" w:hAnsi="Calibri"/>
          <w:color w:val="1B1B1B"/>
          <w:sz w:val="22"/>
          <w:szCs w:val="22"/>
        </w:rPr>
        <w:t xml:space="preserve">For smallholder commercial integration, the actionable rule is participation in cooperative-and-commercial slaughter-and-aggregation networks with structural cold-chain-and-quality-graded protocol adherence. For commercial operators, integrated production-and-finishing-and-licensed-slaughter operations with cold-chain-integrated retail distribution. For impact investors, scaling cooperative-smallholder slaughterhouse infrastructure, premium retail cold-chain expansion, and bacon-and-ham-processing capacity anchors the regional pig commercial-grade access expansion opportunity.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06</w:t>
            </w:r>
          </w:p>
          <w:p>
            <w:pPr>
              <w:spacing w:after="40"/>
            </w:pPr>
            <w:r>
              <w:rPr>
                <w:rFonts w:ascii="Calibri" w:cs="Calibri" w:eastAsia="Calibri" w:hAnsi="Calibri"/>
                <w:b/>
                <w:bCs/>
                <w:color w:val="FFFFFF"/>
                <w:sz w:val="36"/>
                <w:szCs w:val="36"/>
              </w:rPr>
              <w:t xml:space="preserve">Commercial Aggregation &amp; Processing</w:t>
            </w:r>
          </w:p>
          <w:p>
            <w:r>
              <w:rPr>
                <w:rFonts w:ascii="Calibri" w:cs="Calibri" w:eastAsia="Calibri" w:hAnsi="Calibri"/>
                <w:i/>
                <w:iCs/>
                <w:color w:val="FFFFFF"/>
                <w:sz w:val="20"/>
                <w:szCs w:val="20"/>
              </w:rPr>
              <w:t xml:space="preserve">Cooperative smallholder aggregation  •  Commercial integration  •  Premium retail</w:t>
            </w:r>
            <w:r>
              <w:rPr>
                <w:rFonts w:ascii="Calibri" w:cs="Calibri" w:eastAsia="Calibri" w:hAnsi="Calibri"/>
                <w:color w:val="FFFFFF"/>
                <w:sz w:val="20"/>
                <w:szCs w:val="20"/>
              </w:rPr>
              <w:t xml:space="preserve">   •   Ukusanyaji wa biashara (Sw)  •  Farmer’s Choice anchored</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AGGREGATION MODELS</w:t>
            </w:r>
          </w:p>
          <w:p>
            <w:r>
              <w:rPr>
                <w:rFonts w:ascii="Calibri" w:cs="Calibri" w:eastAsia="Calibri" w:hAnsi="Calibri"/>
                <w:color w:val="1B1B1B"/>
                <w:sz w:val="20"/>
                <w:szCs w:val="20"/>
              </w:rPr>
              <w:t xml:space="preserve">Smallholder informal trade dominant; commercial intensive direct-supply; cooperative aggregation emerging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PROCESSOR REFERENCE</w:t>
            </w:r>
          </w:p>
          <w:p>
            <w:r>
              <w:rPr>
                <w:rFonts w:ascii="Calibri" w:cs="Calibri" w:eastAsia="Calibri" w:hAnsi="Calibri"/>
                <w:color w:val="1B1B1B"/>
                <w:sz w:val="20"/>
                <w:szCs w:val="20"/>
              </w:rPr>
              <w:t xml:space="preserve">Farmer’s Choice (KE anchor); emerging TZ, UG, RW, BI commercial operators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PREMIUM-GRADE ACCESS</w:t>
            </w:r>
          </w:p>
          <w:p>
            <w:r>
              <w:rPr>
                <w:rFonts w:ascii="Calibri" w:cs="Calibri" w:eastAsia="Calibri" w:hAnsi="Calibri"/>
                <w:color w:val="1B1B1B"/>
                <w:sz w:val="20"/>
                <w:szCs w:val="20"/>
              </w:rPr>
              <w:t xml:space="preserve">Premium retail and bacon-and-ham processing channels; structural smallholder informal-trade gap</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Domestic-and-regional commercial-development reference (no Halal-export trajectory)</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Pig commercial aggregation and processing infrastructure carries the structurally distinctive domestic-and-regional commercial-development trajectory anchored by Farmer’s Choice (Kenya) and emerging regional operators. Unlike cattle and small-ruminants (where Halal-export to Middle East provides structural emerging international commercial-development reference), pig industry export trajectory is structurally limited by both ASF-status international trade restrictions and Halal-market non-applicability. The regional commercial pork commercial-development trajectory is consequently principally domestic-and-regional-EAC-and-COMESA-cross-border focused, with structural premium-retail-and-processed-pork commercial-development reference.</w:t>
      </w:r>
    </w:p>
    <w:p>
      <w:pPr>
        <w:spacing w:after="120" w:line="300"/>
      </w:pPr>
      <w:r>
        <w:rPr>
          <w:rFonts w:ascii="Calibri" w:cs="Calibri" w:eastAsia="Calibri" w:hAnsi="Calibri"/>
          <w:color w:val="1B1B1B"/>
          <w:sz w:val="22"/>
          <w:szCs w:val="22"/>
        </w:rPr>
        <w:t xml:space="preserve">Five commercial aggregation models shape regional picture: smallholder informal-market trade (the dominant volume channel especially in Uganda); commercial intensive direct-supply (Farmer’s Choice Kenya contract supply networks; emerging regional operators); cooperative smallholder aggregation (emerging especially in Uganda PPM-U-affiliated and similar cooperative networks); commercial integrated processing (Farmer’s Choice integrated production-and-processing operations); and emerging regional cross-border pork trade through EAC-and-COMESA frameworks. Premium retail expansion through urban supermarket cold-chain butcheries and emerging restaurant-and-food-service supply provides structural domestic premium-pricing trajectory.</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FARMER’S CHOICE AND THE REGIONAL PREMIUM PORK COMMERCIAL-DEVELOPMENT REFERENCE</w:t>
            </w:r>
          </w:p>
          <w:p>
            <w:pPr>
              <w:spacing w:after="100" w:line="290"/>
            </w:pPr>
            <w:r>
              <w:rPr>
                <w:rFonts w:ascii="Calibri" w:cs="Calibri" w:eastAsia="Calibri" w:hAnsi="Calibri"/>
                <w:color w:val="1B1B1B"/>
                <w:sz w:val="21"/>
                <w:szCs w:val="21"/>
              </w:rPr>
              <w:t xml:space="preserve">Farmer’s Choice Limited is the structural Kenyan pork industry reference and the regional commercial-pork commercial-development anchor. Founded in 1980 as a Kenyan commercial pork integrated production-and-processing operation, Farmer’s Choice has built one of the regional largest commercial-pig integrated operations: structured contract pig-production supply networks across Mt Kenya, Western Kenya, Rift Valley pig production zones; integrated commercial slaughter-and-processing operations; comprehensive premium-pork product portfolio (Farmer’s Choice fresh pork cuts, bacon, ham, sausages, smoked pork, frankfurters); structural urban-and-supermarket premium retail integration; emerging regional cross-border supply expansion.</w:t>
            </w:r>
          </w:p>
          <w:p>
            <w:pPr>
              <w:spacing w:after="100" w:line="290"/>
            </w:pPr>
            <w:r>
              <w:rPr>
                <w:rFonts w:ascii="Calibri" w:cs="Calibri" w:eastAsia="Calibri" w:hAnsi="Calibri"/>
                <w:color w:val="1B1B1B"/>
                <w:sz w:val="21"/>
                <w:szCs w:val="21"/>
              </w:rPr>
              <w:t xml:space="preserve">The Farmer’s Choice commercial-development reference has shaped Kenyan pork industry commercial structure for over four decades. Contract pig production supply networks providing structured breeding-stock-and-feed-and-veterinary-and-aggregation infrastructure to participating smallholder-and-commercial pig producers; integrated commercial slaughter-and-processing operations providing licensed-grade slaughter capacity-and-cold-chain handling-and-premium-product processing; structural premium-pork product portfolio (Farmer’s Choice bacon dominates Kenyan urban supermarket retail; structural processed-pork product diversity); urban-and-supermarket premium retail integration through Naivas, Carrefour, Quickmart, Tuskys-affiliated channels.</w:t>
            </w:r>
          </w:p>
          <w:p>
            <w:pPr>
              <w:spacing w:after="100" w:line="290"/>
            </w:pPr>
            <w:r>
              <w:rPr>
                <w:rFonts w:ascii="Calibri" w:cs="Calibri" w:eastAsia="Calibri" w:hAnsi="Calibri"/>
                <w:color w:val="1B1B1B"/>
                <w:sz w:val="21"/>
                <w:szCs w:val="21"/>
              </w:rPr>
              <w:t xml:space="preserve">Emerging regional commercial pork operators paralleling the Farmer’s Choice commercial-development reference structure are expanding through 2020s. Tanzanian commercial pork operations include emerging private operators in Mwanza, Northern, Coast, and AGCOT-cluster-affiliated emerging Southern Highlands operations. Ugandan commercial pork operations emerging from significant smallholder pig production base include emerging Kampala-area commercial operations and cooperative aggregator infrastructure (PPM-U and similar networks). Rwandan and Burundian commercial pork operations remain earlier-stage with significant available development opportunity.</w:t>
            </w:r>
          </w:p>
          <w:p>
            <w:pPr>
              <w:spacing w:after="100" w:line="290"/>
            </w:pPr>
            <w:r>
              <w:rPr>
                <w:rFonts w:ascii="Calibri" w:cs="Calibri" w:eastAsia="Calibri" w:hAnsi="Calibri"/>
                <w:color w:val="1B1B1B"/>
                <w:sz w:val="21"/>
                <w:szCs w:val="21"/>
              </w:rPr>
              <w:t xml:space="preserve">Cooperative smallholder pig aggregation paralleling the Farmer’s Choice contract-supply model represents the regional pig commercial-development trajectory. The structural commercial proposition: smallholder pig producers cannot individually capture quality-graded premium-pricing access; cooperative aggregation captures it through structured biosecurity-and-management-and-aggregation infrastructure. Emerging Ugandan PPM-U-affiliated cooperative pig aggregation; emerging Tanzanian, Kenyan, Rwandan, Burundian cooperative pig commercial-development pilots; structural regional commercial-development reference paralleling cooperative-CWS for coffee (Post-Harvest Series 1 Issue 4), cooperative-tea-factory KTDA model, cooperative milk aggregation (this Series Issue 1 anchored pull-out), and cooperative pastoral cattle aggregation (this Series Issue 2 anchored pull-out).</w:t>
            </w:r>
          </w:p>
          <w:p>
            <w:pPr>
              <w:spacing w:after="0" w:line="290"/>
            </w:pPr>
            <w:r>
              <w:rPr>
                <w:rFonts w:ascii="Calibri" w:cs="Calibri" w:eastAsia="Calibri" w:hAnsi="Calibri"/>
                <w:color w:val="1B1B1B"/>
                <w:sz w:val="21"/>
                <w:szCs w:val="21"/>
              </w:rPr>
              <w:t xml:space="preserve">For commercial pig operators, the actionable rule is integrated production-and-aggregation-and-processing-and-retail commercial structure paralleling the Farmer’s Choice regional reference. For smallholder pig producers, participation in cooperative-aggregator commercial integration with structured biosecurity-and-quality-graded supply protocol adherence. For impact investors and governments, scaling cooperative smallholder pig commercial integration (especially in Ugandan smallholder zones), supporting biosecurity-and-veterinary infrastructure, and supporting emerging Tanzanian, Rwandan, Burundian commercial pork operations represents the regional pig industry commercial-development trajectory — distinctively focused on domestic-and-regional-cross-border markets given structural ASF-and-Halal export limitations.</w:t>
            </w:r>
          </w:p>
        </w:tc>
      </w:tr>
    </w:tbl>
    <w:p>
      <w:r>
        <w:t xml:space="preserve"/>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Smallholder informal-market trade (the dominant volume channel): </w:t>
      </w:r>
      <w:r>
        <w:rPr>
          <w:rFonts w:ascii="Calibri" w:cs="Calibri" w:eastAsia="Calibri" w:hAnsi="Calibri"/>
          <w:color w:val="1B1B1B"/>
          <w:sz w:val="22"/>
          <w:szCs w:val="22"/>
        </w:rPr>
        <w:t xml:space="preserve">Direct producer-to-trader trade through regional pig-trading channels and rural-and-peri-urban informal markets; structural informal-market dominance especially in Uganda smallholder pig zones; structural commercial-grade-access and biosecurity-and-public-health concerns through inadequate cold-chain and structural informal slaughter sector.</w:t>
      </w:r>
    </w:p>
    <w:p>
      <w:pPr>
        <w:pStyle w:val="ListParagraph"/>
        <w:numPr>
          <w:ilvl w:val="0"/>
          <w:numId w:val="2"/>
        </w:numPr>
        <w:spacing w:after="80" w:line="290"/>
      </w:pPr>
      <w:r>
        <w:rPr>
          <w:rFonts w:ascii="Calibri" w:cs="Calibri" w:eastAsia="Calibri" w:hAnsi="Calibri"/>
          <w:b/>
          <w:bCs/>
          <w:color w:val="1B1B1B"/>
          <w:sz w:val="22"/>
          <w:szCs w:val="22"/>
        </w:rPr>
        <w:t xml:space="preserve">Commercial intensive direct-supply (Farmer’s Choice contract networks): </w:t>
      </w:r>
      <w:r>
        <w:rPr>
          <w:rFonts w:ascii="Calibri" w:cs="Calibri" w:eastAsia="Calibri" w:hAnsi="Calibri"/>
          <w:color w:val="1B1B1B"/>
          <w:sz w:val="22"/>
          <w:szCs w:val="22"/>
        </w:rPr>
        <w:t xml:space="preserve">Farmer’s Choice integrated contract pig-production supply networks across Mt Kenya, Western Kenya, Rift Valley; emerging Tanzanian, Ugandan, Rwandan commercial intensive operators; structural commercial-grade-access vector.</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aggregation (emerging): </w:t>
      </w:r>
      <w:r>
        <w:rPr>
          <w:rFonts w:ascii="Calibri" w:cs="Calibri" w:eastAsia="Calibri" w:hAnsi="Calibri"/>
          <w:color w:val="1B1B1B"/>
          <w:sz w:val="22"/>
          <w:szCs w:val="22"/>
        </w:rPr>
        <w:t xml:space="preserve">Emerging cooperative pig-cooperative-affiliated production-and-aggregator infrastructure linking smallholder pigs into formal commercial-grade slaughter-and-retail channels; structural commercial-development opportunity especially significant in Uganda smallholder pig zones.</w:t>
      </w:r>
    </w:p>
    <w:p>
      <w:pPr>
        <w:pStyle w:val="ListParagraph"/>
        <w:numPr>
          <w:ilvl w:val="0"/>
          <w:numId w:val="2"/>
        </w:numPr>
        <w:spacing w:after="80" w:line="290"/>
      </w:pPr>
      <w:r>
        <w:rPr>
          <w:rFonts w:ascii="Calibri" w:cs="Calibri" w:eastAsia="Calibri" w:hAnsi="Calibri"/>
          <w:b/>
          <w:bCs/>
          <w:color w:val="1B1B1B"/>
          <w:sz w:val="22"/>
          <w:szCs w:val="22"/>
        </w:rPr>
        <w:t xml:space="preserve">Licensed commercial slaughter operations: </w:t>
      </w:r>
      <w:r>
        <w:rPr>
          <w:rFonts w:ascii="Calibri" w:cs="Calibri" w:eastAsia="Calibri" w:hAnsi="Calibri"/>
          <w:color w:val="1B1B1B"/>
          <w:sz w:val="22"/>
          <w:szCs w:val="22"/>
        </w:rPr>
        <w:t xml:space="preserve">Farmer’s Choice integrated slaughter-and-processing (Kenya — the regional reference); emerging private commercial operators across regional countries; significant regional commercial-grade pork volume share.</w:t>
      </w:r>
    </w:p>
    <w:p>
      <w:pPr>
        <w:pStyle w:val="ListParagraph"/>
        <w:numPr>
          <w:ilvl w:val="0"/>
          <w:numId w:val="2"/>
        </w:numPr>
        <w:spacing w:after="80" w:line="290"/>
      </w:pPr>
      <w:r>
        <w:rPr>
          <w:rFonts w:ascii="Calibri" w:cs="Calibri" w:eastAsia="Calibri" w:hAnsi="Calibri"/>
          <w:b/>
          <w:bCs/>
          <w:color w:val="1B1B1B"/>
          <w:sz w:val="22"/>
          <w:szCs w:val="22"/>
        </w:rPr>
        <w:t xml:space="preserve">Premium retail and supermarket cold-chain: </w:t>
      </w:r>
      <w:r>
        <w:rPr>
          <w:rFonts w:ascii="Calibri" w:cs="Calibri" w:eastAsia="Calibri" w:hAnsi="Calibri"/>
          <w:color w:val="1B1B1B"/>
          <w:sz w:val="22"/>
          <w:szCs w:val="22"/>
        </w:rPr>
        <w:t xml:space="preserve">Farmer’s Choice premium portfolio; supermarket cold-chain butcheries (Naivas, Carrefour, Quickmart, Tuskys-affiliated channels); emerging Dar es Salaam, Kampala, Kigali, Bujumbura premium retail expansion.</w:t>
      </w:r>
    </w:p>
    <w:p>
      <w:pPr>
        <w:pStyle w:val="ListParagraph"/>
        <w:numPr>
          <w:ilvl w:val="0"/>
          <w:numId w:val="2"/>
        </w:numPr>
        <w:spacing w:after="80" w:line="290"/>
      </w:pPr>
      <w:r>
        <w:rPr>
          <w:rFonts w:ascii="Calibri" w:cs="Calibri" w:eastAsia="Calibri" w:hAnsi="Calibri"/>
          <w:b/>
          <w:bCs/>
          <w:color w:val="1B1B1B"/>
          <w:sz w:val="22"/>
          <w:szCs w:val="22"/>
        </w:rPr>
        <w:t xml:space="preserve">Bacon-and-ham-and-sausage processing: </w:t>
      </w:r>
      <w:r>
        <w:rPr>
          <w:rFonts w:ascii="Calibri" w:cs="Calibri" w:eastAsia="Calibri" w:hAnsi="Calibri"/>
          <w:color w:val="1B1B1B"/>
          <w:sz w:val="22"/>
          <w:szCs w:val="22"/>
        </w:rPr>
        <w:t xml:space="preserve">Farmer’s Choice premium pork-product portfolio (Farmer’s Choice bacon, ham, sausage, frankfurter integrated processing); emerging regional pork-product operators; structural premium-retail 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Restaurant and food-service supply: </w:t>
      </w:r>
      <w:r>
        <w:rPr>
          <w:rFonts w:ascii="Calibri" w:cs="Calibri" w:eastAsia="Calibri" w:hAnsi="Calibri"/>
          <w:color w:val="1B1B1B"/>
          <w:sz w:val="22"/>
          <w:szCs w:val="22"/>
        </w:rPr>
        <w:t xml:space="preserve">Premium pork-product supply to urban restaurants, hotels, and food-service operators; significant regional emerging commercial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Cross-border regional pork trade: </w:t>
      </w:r>
      <w:r>
        <w:rPr>
          <w:rFonts w:ascii="Calibri" w:cs="Calibri" w:eastAsia="Calibri" w:hAnsi="Calibri"/>
          <w:color w:val="1B1B1B"/>
          <w:sz w:val="22"/>
          <w:szCs w:val="22"/>
        </w:rPr>
        <w:t xml:space="preserve">Emerging EAC-and-COMESA cross-border pork trade through regional regulatory frameworks; significant emerging regional commercial trajectory through 2024–2026.</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pig commercial integration (the structural commercial-development opportunity): </w:t>
      </w:r>
      <w:r>
        <w:rPr>
          <w:rFonts w:ascii="Calibri" w:cs="Calibri" w:eastAsia="Calibri" w:hAnsi="Calibri"/>
          <w:color w:val="1B1B1B"/>
          <w:sz w:val="22"/>
          <w:szCs w:val="22"/>
        </w:rPr>
        <w:t xml:space="preserve">Emerging cooperative pig-cooperative-affiliated production-and-aggregator infrastructure especially in Uganda PPM-U-affiliated and similar networks;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Premium retail brand expansion across regional: </w:t>
      </w:r>
      <w:r>
        <w:rPr>
          <w:rFonts w:ascii="Calibri" w:cs="Calibri" w:eastAsia="Calibri" w:hAnsi="Calibri"/>
          <w:color w:val="1B1B1B"/>
          <w:sz w:val="22"/>
          <w:szCs w:val="22"/>
        </w:rPr>
        <w:t xml:space="preserve">Emerging Tanzanian, Ugandan, Rwandan, Burundian premium retail pork brands paralleling Farmer’s Choice regional reference; significant trajectory through 2024–2026 supermarket integration.</w:t>
      </w:r>
    </w:p>
    <w:p>
      <w:pPr>
        <w:pStyle w:val="ListParagraph"/>
        <w:numPr>
          <w:ilvl w:val="0"/>
          <w:numId w:val="2"/>
        </w:numPr>
        <w:spacing w:after="80" w:line="290"/>
      </w:pPr>
      <w:r>
        <w:rPr>
          <w:rFonts w:ascii="Calibri" w:cs="Calibri" w:eastAsia="Calibri" w:hAnsi="Calibri"/>
          <w:b/>
          <w:bCs/>
          <w:color w:val="1B1B1B"/>
          <w:sz w:val="22"/>
          <w:szCs w:val="22"/>
        </w:rPr>
        <w:t xml:space="preserve">Bacon-and-ham-and-sausage processing scale-up: </w:t>
      </w:r>
      <w:r>
        <w:rPr>
          <w:rFonts w:ascii="Calibri" w:cs="Calibri" w:eastAsia="Calibri" w:hAnsi="Calibri"/>
          <w:color w:val="1B1B1B"/>
          <w:sz w:val="22"/>
          <w:szCs w:val="22"/>
        </w:rPr>
        <w:t xml:space="preserve">Emerging premium processed-pork commercial operations across regional countries; structural urban supermarket-and-restaurant supply integration;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Regional cross-border pork trade expansion: </w:t>
      </w:r>
      <w:r>
        <w:rPr>
          <w:rFonts w:ascii="Calibri" w:cs="Calibri" w:eastAsia="Calibri" w:hAnsi="Calibri"/>
          <w:color w:val="1B1B1B"/>
          <w:sz w:val="22"/>
          <w:szCs w:val="22"/>
        </w:rPr>
        <w:t xml:space="preserve">Emerging EAC-and-COMESA cross-border pork trade through regional regulatory frameworks; significant emerging regional commercial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highland pork brands; emerging organic-certified pork operations; specialty cuts and premium retail differentiation; emerging artisan cured-pork-and-bacon-and-charcuterie commercial product lines; emerging premium dry-aged pork operations.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Cooperative organisation: emerging structured smallholder pig cooperative organisational frameworks; emerging regulatory authority oversight.</w:t>
      </w:r>
    </w:p>
    <w:p>
      <w:pPr>
        <w:pStyle w:val="ListParagraph"/>
        <w:numPr>
          <w:ilvl w:val="0"/>
          <w:numId w:val="2"/>
        </w:numPr>
        <w:spacing w:after="80" w:line="290"/>
      </w:pPr>
      <w:r>
        <w:rPr>
          <w:rFonts w:ascii="Calibri" w:cs="Calibri" w:eastAsia="Calibri" w:hAnsi="Calibri"/>
          <w:color w:val="1B1B1B"/>
          <w:sz w:val="22"/>
          <w:szCs w:val="22"/>
        </w:rPr>
        <w:t xml:space="preserve">Slaughter operations licensing: regional DVS-equivalent regulatory authority oversight; HACCP and ISO 22000 for premium operations.</w:t>
      </w:r>
    </w:p>
    <w:p>
      <w:pPr>
        <w:pStyle w:val="ListParagraph"/>
        <w:numPr>
          <w:ilvl w:val="0"/>
          <w:numId w:val="2"/>
        </w:numPr>
        <w:spacing w:after="80" w:line="290"/>
      </w:pPr>
      <w:r>
        <w:rPr>
          <w:rFonts w:ascii="Calibri" w:cs="Calibri" w:eastAsia="Calibri" w:hAnsi="Calibri"/>
          <w:color w:val="1B1B1B"/>
          <w:sz w:val="22"/>
          <w:szCs w:val="22"/>
        </w:rPr>
        <w:t xml:space="preserve">Carcass grading: emerging regional grading frameworks paralleling Farmer’s Choice operational standards.</w:t>
      </w:r>
    </w:p>
    <w:p>
      <w:pPr>
        <w:pStyle w:val="ListParagraph"/>
        <w:numPr>
          <w:ilvl w:val="0"/>
          <w:numId w:val="2"/>
        </w:numPr>
        <w:spacing w:after="80" w:line="290"/>
      </w:pPr>
      <w:r>
        <w:rPr>
          <w:rFonts w:ascii="Calibri" w:cs="Calibri" w:eastAsia="Calibri" w:hAnsi="Calibri"/>
          <w:color w:val="1B1B1B"/>
          <w:sz w:val="22"/>
          <w:szCs w:val="22"/>
        </w:rPr>
        <w:t xml:space="preserve">Premium retail brand certification: KEBS, TBS, UNBS, RSB, BBS standards apply; HACCP and ISO 22000 for premium operators; emerging organic certification.</w:t>
      </w:r>
    </w:p>
    <w:p>
      <w:pPr>
        <w:pStyle w:val="ListParagraph"/>
        <w:numPr>
          <w:ilvl w:val="0"/>
          <w:numId w:val="2"/>
        </w:numPr>
        <w:spacing w:after="80" w:line="290"/>
      </w:pPr>
      <w:r>
        <w:rPr>
          <w:rFonts w:ascii="Calibri" w:cs="Calibri" w:eastAsia="Calibri" w:hAnsi="Calibri"/>
          <w:color w:val="1B1B1B"/>
          <w:sz w:val="22"/>
          <w:szCs w:val="22"/>
        </w:rPr>
        <w:t xml:space="preserve">EAC and COMESA cross-border trade: structural regional regulatory frameworks for pork trade between member states.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Major operators: Farmer’s Choice Limited (the regional reference — integrated contract supply, slaughter, processing, premium retail); Choppies/Quality Meat Packers (QMP) pork integration; emerging private commercial operators. Cooperative smallholder integration: emerging cooperative pig networks. Regulatory: Kenya Veterinary Board; Kenya Bureau of Standards; Kenya Pig Producers Association.</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Major operators: emerging private commercial pork operators; AGCOT-cluster-affiliated emerging Southern Highlands operations; emerging Mwanza-area commercial operations. Regulatory: Tanzania Meat Board; TBS.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Major operators: emerging private commercial pork operators across Kampala area; cooperative smallholder integration through Pig Production and Marketing Uganda (PPM-U) and similar cooperative networks; significant smallholder pig production base across Central, Western, Northern Uganda. Regulatory: Uganda DVS; UNBS.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Major operators: emerging cooperative-and-commercial pork operations across Eastern Province. Regulatory: Rwanda Standards Board.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Major operators: emerging cooperative-and-commercial operations. Regulatory: Burundi Bureau of Standards.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Pig commercial aggregation and processing infrastructure carries the structurally distinctive domestic-and-regional commercial-development trajectory anchored by Farmer’s Choice (Kenya) and emerging regional operators. The structural ASF-and-Halal export limitations channel commercial-development principally through domestic urban supermarket retail, processed-pork manufacturing, and emerging regional EAC-and-COMESA cross-border trade.</w:t>
      </w:r>
    </w:p>
    <w:p>
      <w:pPr>
        <w:spacing w:after="120" w:line="300"/>
      </w:pPr>
      <w:r>
        <w:rPr>
          <w:rFonts w:ascii="Calibri" w:cs="Calibri" w:eastAsia="Calibri" w:hAnsi="Calibri"/>
          <w:color w:val="1B1B1B"/>
          <w:sz w:val="22"/>
          <w:szCs w:val="22"/>
        </w:rPr>
        <w:t xml:space="preserve">For smallholder pig producers, the actionable rule is cooperative aggregator development with structured biosecurity-and-quality-graded supply protocol adherence. For commercial operators and impact investors, scaling cooperative smallholder pig commercial integration (especially in Ugandan smallholder zones), premium retail brand expansion, and bacon-and-ham-and-sausage processing capacity represents one of the strongest available regional pig industry commercial-development opportunities. For governments, supporting cooperative-pig organisational frameworks, ASF biosecurity infrastructure, EAC-and-COMESA cross-border pork trade frameworks, and emerging pig regulatory infrastructure anchors the regional public-sector contribution.</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07</w:t>
            </w:r>
          </w:p>
          <w:p>
            <w:pPr>
              <w:spacing w:after="40"/>
            </w:pPr>
            <w:r>
              <w:rPr>
                <w:rFonts w:ascii="Calibri" w:cs="Calibri" w:eastAsia="Calibri" w:hAnsi="Calibri"/>
                <w:b/>
                <w:bCs/>
                <w:color w:val="FFFFFF"/>
                <w:sz w:val="36"/>
                <w:szCs w:val="36"/>
              </w:rPr>
              <w:t xml:space="preserve">Specialty &amp; Value-Add</w:t>
            </w:r>
          </w:p>
          <w:p>
            <w:r>
              <w:rPr>
                <w:rFonts w:ascii="Calibri" w:cs="Calibri" w:eastAsia="Calibri" w:hAnsi="Calibri"/>
                <w:i/>
                <w:iCs/>
                <w:color w:val="FFFFFF"/>
                <w:sz w:val="20"/>
                <w:szCs w:val="20"/>
              </w:rPr>
              <w:t xml:space="preserve">Bacon  •  Ham  •  Sausages  •  Premium retail</w:t>
            </w:r>
            <w:r>
              <w:rPr>
                <w:rFonts w:ascii="Calibri" w:cs="Calibri" w:eastAsia="Calibri" w:hAnsi="Calibri"/>
                <w:color w:val="FFFFFF"/>
                <w:sz w:val="20"/>
                <w:szCs w:val="20"/>
              </w:rPr>
              <w:t xml:space="preserve">   •   Bidhaa za thamani (Sw)  •  Bacon-and-ham-anchored value-add</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VALUE-ADD CHANNELS</w:t>
            </w:r>
          </w:p>
          <w:p>
            <w:r>
              <w:rPr>
                <w:rFonts w:ascii="Calibri" w:cs="Calibri" w:eastAsia="Calibri" w:hAnsi="Calibri"/>
                <w:color w:val="1B1B1B"/>
                <w:sz w:val="20"/>
                <w:szCs w:val="20"/>
              </w:rPr>
              <w:t xml:space="preserve">Bacon; ham; sausages; smoked-and-cured pork; premium retail; by-products (lard, offal, hide)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PREMIUM PRICING</w:t>
            </w:r>
          </w:p>
          <w:p>
            <w:r>
              <w:rPr>
                <w:rFonts w:ascii="Calibri" w:cs="Calibri" w:eastAsia="Calibri" w:hAnsi="Calibri"/>
                <w:color w:val="1B1B1B"/>
                <w:sz w:val="20"/>
                <w:szCs w:val="20"/>
              </w:rPr>
              <w:t xml:space="preserve">Premium retail typically 50–150% over commodity; processed-pork structurally premium</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REFERENCE OPERATORS</w:t>
            </w:r>
          </w:p>
          <w:p>
            <w:r>
              <w:rPr>
                <w:rFonts w:ascii="Calibri" w:cs="Calibri" w:eastAsia="Calibri" w:hAnsi="Calibri"/>
                <w:color w:val="1B1B1B"/>
                <w:sz w:val="20"/>
                <w:szCs w:val="20"/>
              </w:rPr>
              <w:t xml:space="preserve">Farmer’s Choice premium portfolio; emerging regional bacon-and-ham operators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Region-wide — urban premium retail growth; structural domestic-and-regional commercial trajectory</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Specialty and value-add pig operations represent the regional commercial-development trajectory beyond commodity pork baseline. Five value-add channel categories shape regional commercial picture: bacon (the regional flagship pork-product anchor with structural Farmer’s Choice dominance and emerging regional operator commercial-development); ham (smoked, cured, deli-style with structural premium-retail trajectory); sausages (Farmer’s Choice premium portfolio plus emerging regional artisan-and-commercial operators); smoked-and-cured specialty pork (structural premium-retail-and-restaurant-supply commercial-development trajectory); and pig by-products generally (lard, offal, pig-skin-and-leather, blood meal, bone meal).</w:t>
      </w:r>
    </w:p>
    <w:p>
      <w:pPr>
        <w:spacing w:after="120" w:line="300"/>
      </w:pPr>
      <w:r>
        <w:rPr>
          <w:rFonts w:ascii="Calibri" w:cs="Calibri" w:eastAsia="Calibri" w:hAnsi="Calibri"/>
          <w:color w:val="1B1B1B"/>
          <w:sz w:val="22"/>
          <w:szCs w:val="22"/>
        </w:rPr>
        <w:t xml:space="preserve">The regional pork-product processing industry has expanded significantly through 2020s alongside regional supermarket-and-food-service integration and emerging premium retail commercial-development. Major regional operators include Farmer’s Choice premium portfolio (the structural Kenyan reference covered in Domain 6 anchored pull-out box); Choppies/Quality Meat Packers pork integration; emerging Tanzanian, Ugandan, Rwandan operators; specialty butcher-and-charcuterie operators across regional urban centres. The pig-skin-and-leather industry integrates structural pig by-product value chain alongside cattle and small-ruminant leather operations through KLDC-coordinated Kenyan operations and emerging regional tannery-and-leather-manufacturing operations.</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Bacon (the regional flagship pork-product): </w:t>
      </w:r>
      <w:r>
        <w:rPr>
          <w:rFonts w:ascii="Calibri" w:cs="Calibri" w:eastAsia="Calibri" w:hAnsi="Calibri"/>
          <w:color w:val="1B1B1B"/>
          <w:sz w:val="22"/>
          <w:szCs w:val="22"/>
        </w:rPr>
        <w:t xml:space="preserve">Streaky bacon, back bacon, gammon-style bacon; major regional operator: Farmer’s Choice premium portfolio (structural Kenyan urban supermarket dominance); emerging Tanzanian, Ugandan, Rwandan operators; significant regional urban premium retail trajectory.</w:t>
      </w:r>
    </w:p>
    <w:p>
      <w:pPr>
        <w:pStyle w:val="ListParagraph"/>
        <w:numPr>
          <w:ilvl w:val="0"/>
          <w:numId w:val="2"/>
        </w:numPr>
        <w:spacing w:after="80" w:line="290"/>
      </w:pPr>
      <w:r>
        <w:rPr>
          <w:rFonts w:ascii="Calibri" w:cs="Calibri" w:eastAsia="Calibri" w:hAnsi="Calibri"/>
          <w:b/>
          <w:bCs/>
          <w:color w:val="1B1B1B"/>
          <w:sz w:val="22"/>
          <w:szCs w:val="22"/>
        </w:rPr>
        <w:t xml:space="preserve">Ham (smoked, cured, deli-style): </w:t>
      </w:r>
      <w:r>
        <w:rPr>
          <w:rFonts w:ascii="Calibri" w:cs="Calibri" w:eastAsia="Calibri" w:hAnsi="Calibri"/>
          <w:color w:val="1B1B1B"/>
          <w:sz w:val="22"/>
          <w:szCs w:val="22"/>
        </w:rPr>
        <w:t xml:space="preserve">Wet-cured and dry-cured ham; deli-style sliced ham; gammon and Christmas-roast specialty; major regional operators: Farmer’s Choice premium portfolio; emerging regional artisan-and-commercial operators; significant urban premium-retail trajectory.</w:t>
      </w:r>
    </w:p>
    <w:p>
      <w:pPr>
        <w:pStyle w:val="ListParagraph"/>
        <w:numPr>
          <w:ilvl w:val="0"/>
          <w:numId w:val="2"/>
        </w:numPr>
        <w:spacing w:after="80" w:line="290"/>
      </w:pPr>
      <w:r>
        <w:rPr>
          <w:rFonts w:ascii="Calibri" w:cs="Calibri" w:eastAsia="Calibri" w:hAnsi="Calibri"/>
          <w:b/>
          <w:bCs/>
          <w:color w:val="1B1B1B"/>
          <w:sz w:val="22"/>
          <w:szCs w:val="22"/>
        </w:rPr>
        <w:t xml:space="preserve">Sausages (the regional volume value-add): </w:t>
      </w:r>
      <w:r>
        <w:rPr>
          <w:rFonts w:ascii="Calibri" w:cs="Calibri" w:eastAsia="Calibri" w:hAnsi="Calibri"/>
          <w:color w:val="1B1B1B"/>
          <w:sz w:val="22"/>
          <w:szCs w:val="22"/>
        </w:rPr>
        <w:t xml:space="preserve">Pork sausages, frankfurters, salamis, breakfast sausage; major regional operators: Farmer’s Choice premium portfolio; Kenchic-affiliated; Choppies/Quality Meat Packers; emerging regional operators.</w:t>
      </w:r>
    </w:p>
    <w:p>
      <w:pPr>
        <w:pStyle w:val="ListParagraph"/>
        <w:numPr>
          <w:ilvl w:val="0"/>
          <w:numId w:val="2"/>
        </w:numPr>
        <w:spacing w:after="80" w:line="290"/>
      </w:pPr>
      <w:r>
        <w:rPr>
          <w:rFonts w:ascii="Calibri" w:cs="Calibri" w:eastAsia="Calibri" w:hAnsi="Calibri"/>
          <w:b/>
          <w:bCs/>
          <w:color w:val="1B1B1B"/>
          <w:sz w:val="22"/>
          <w:szCs w:val="22"/>
        </w:rPr>
        <w:t xml:space="preserve">Smoked-and-cured specialty pork: </w:t>
      </w:r>
      <w:r>
        <w:rPr>
          <w:rFonts w:ascii="Calibri" w:cs="Calibri" w:eastAsia="Calibri" w:hAnsi="Calibri"/>
          <w:color w:val="1B1B1B"/>
          <w:sz w:val="22"/>
          <w:szCs w:val="22"/>
        </w:rPr>
        <w:t xml:space="preserve">Premium smoked pork, dry-cured specialty pork (parma-style, prosciutto-style emerging artisan); biltong-and-jerky-style cured pork; emerging regional artisan operators; structural premium-retail-and-restaurant-supply trajectory.</w:t>
      </w:r>
    </w:p>
    <w:p>
      <w:pPr>
        <w:pStyle w:val="ListParagraph"/>
        <w:numPr>
          <w:ilvl w:val="0"/>
          <w:numId w:val="2"/>
        </w:numPr>
        <w:spacing w:after="80" w:line="290"/>
      </w:pPr>
      <w:r>
        <w:rPr>
          <w:rFonts w:ascii="Calibri" w:cs="Calibri" w:eastAsia="Calibri" w:hAnsi="Calibri"/>
          <w:b/>
          <w:bCs/>
          <w:color w:val="1B1B1B"/>
          <w:sz w:val="22"/>
          <w:szCs w:val="22"/>
        </w:rPr>
        <w:t xml:space="preserve">Premium retail fresh pork (urban supermarket-and-butcher channel): </w:t>
      </w:r>
      <w:r>
        <w:rPr>
          <w:rFonts w:ascii="Calibri" w:cs="Calibri" w:eastAsia="Calibri" w:hAnsi="Calibri"/>
          <w:color w:val="1B1B1B"/>
          <w:sz w:val="22"/>
          <w:szCs w:val="22"/>
        </w:rPr>
        <w:t xml:space="preserve">Premium-graded fresh pork cuts through urban supermarket cold-chain butcheries; specialty butcher operations; emerging restaurant-and-food-service premium supply; regional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Lard and pork fat (industrial-and-culinary): </w:t>
      </w:r>
      <w:r>
        <w:rPr>
          <w:rFonts w:ascii="Calibri" w:cs="Calibri" w:eastAsia="Calibri" w:hAnsi="Calibri"/>
          <w:color w:val="1B1B1B"/>
          <w:sz w:val="22"/>
          <w:szCs w:val="22"/>
        </w:rPr>
        <w:t xml:space="preserve">Pork fat for cooking-and-baking applications; structural by-product commercial integration; emerging artisan-rendering and specialty-fat operators.</w:t>
      </w:r>
    </w:p>
    <w:p>
      <w:pPr>
        <w:pStyle w:val="ListParagraph"/>
        <w:numPr>
          <w:ilvl w:val="0"/>
          <w:numId w:val="2"/>
        </w:numPr>
        <w:spacing w:after="80" w:line="290"/>
      </w:pPr>
      <w:r>
        <w:rPr>
          <w:rFonts w:ascii="Calibri" w:cs="Calibri" w:eastAsia="Calibri" w:hAnsi="Calibri"/>
          <w:b/>
          <w:bCs/>
          <w:color w:val="1B1B1B"/>
          <w:sz w:val="22"/>
          <w:szCs w:val="22"/>
        </w:rPr>
        <w:t xml:space="preserve">Pig-skin-and-leather (the by-product value chain): </w:t>
      </w:r>
      <w:r>
        <w:rPr>
          <w:rFonts w:ascii="Calibri" w:cs="Calibri" w:eastAsia="Calibri" w:hAnsi="Calibri"/>
          <w:color w:val="1B1B1B"/>
          <w:sz w:val="22"/>
          <w:szCs w:val="22"/>
        </w:rPr>
        <w:t xml:space="preserve">Pig-skin tanning and leather-manufacturing integration alongside cattle and small-ruminant leather operations; KLDC-coordinated Kenyan operations; emerging Tanzanian, Ugandan, Rwandan tanneries.</w:t>
      </w:r>
    </w:p>
    <w:p>
      <w:pPr>
        <w:pStyle w:val="ListParagraph"/>
        <w:numPr>
          <w:ilvl w:val="0"/>
          <w:numId w:val="2"/>
        </w:numPr>
        <w:spacing w:after="80" w:line="290"/>
      </w:pPr>
      <w:r>
        <w:rPr>
          <w:rFonts w:ascii="Calibri" w:cs="Calibri" w:eastAsia="Calibri" w:hAnsi="Calibri"/>
          <w:b/>
          <w:bCs/>
          <w:color w:val="1B1B1B"/>
          <w:sz w:val="22"/>
          <w:szCs w:val="22"/>
        </w:rPr>
        <w:t xml:space="preserve">Pig offal and by-products (regional volume channel): </w:t>
      </w:r>
      <w:r>
        <w:rPr>
          <w:rFonts w:ascii="Calibri" w:cs="Calibri" w:eastAsia="Calibri" w:hAnsi="Calibri"/>
          <w:color w:val="1B1B1B"/>
          <w:sz w:val="22"/>
          <w:szCs w:val="22"/>
        </w:rPr>
        <w:t xml:space="preserve">Liver, kidney, heart, intestines (chitterlings/maitumbo cultural specialty); structural cultural-and-food-service market integration.</w:t>
      </w:r>
    </w:p>
    <w:p>
      <w:pPr>
        <w:pStyle w:val="ListParagraph"/>
        <w:numPr>
          <w:ilvl w:val="0"/>
          <w:numId w:val="2"/>
        </w:numPr>
        <w:spacing w:after="80" w:line="290"/>
      </w:pPr>
      <w:r>
        <w:rPr>
          <w:rFonts w:ascii="Calibri" w:cs="Calibri" w:eastAsia="Calibri" w:hAnsi="Calibri"/>
          <w:b/>
          <w:bCs/>
          <w:color w:val="1B1B1B"/>
          <w:sz w:val="22"/>
          <w:szCs w:val="22"/>
        </w:rPr>
        <w:t xml:space="preserve">Bone meal and rendering products: </w:t>
      </w:r>
      <w:r>
        <w:rPr>
          <w:rFonts w:ascii="Calibri" w:cs="Calibri" w:eastAsia="Calibri" w:hAnsi="Calibri"/>
          <w:color w:val="1B1B1B"/>
          <w:sz w:val="22"/>
          <w:szCs w:val="22"/>
        </w:rPr>
        <w:t xml:space="preserve">Rendering operations producing bone meal (livestock-feed input), tallow (industrial-and-soap input); emerging regional commercial integration with feed-and-fertiliser industries.</w:t>
      </w:r>
    </w:p>
    <w:p>
      <w:pPr>
        <w:pStyle w:val="ListParagraph"/>
        <w:numPr>
          <w:ilvl w:val="0"/>
          <w:numId w:val="2"/>
        </w:numPr>
        <w:spacing w:after="80" w:line="290"/>
      </w:pPr>
      <w:r>
        <w:rPr>
          <w:rFonts w:ascii="Calibri" w:cs="Calibri" w:eastAsia="Calibri" w:hAnsi="Calibri"/>
          <w:b/>
          <w:bCs/>
          <w:color w:val="1B1B1B"/>
          <w:sz w:val="22"/>
          <w:szCs w:val="22"/>
        </w:rPr>
        <w:t xml:space="preserve">Pig manure-and-biogas integration: </w:t>
      </w:r>
      <w:r>
        <w:rPr>
          <w:rFonts w:ascii="Calibri" w:cs="Calibri" w:eastAsia="Calibri" w:hAnsi="Calibri"/>
          <w:color w:val="1B1B1B"/>
          <w:sz w:val="22"/>
          <w:szCs w:val="22"/>
        </w:rPr>
        <w:t xml:space="preserve">Pig manure as biogas-feedstock for household-and-commercial energy; structural emerging climate-and-environmental-management commercial trajectory.</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Premium retail brand portfolio expansion across regional: </w:t>
      </w:r>
      <w:r>
        <w:rPr>
          <w:rFonts w:ascii="Calibri" w:cs="Calibri" w:eastAsia="Calibri" w:hAnsi="Calibri"/>
          <w:color w:val="1B1B1B"/>
          <w:sz w:val="22"/>
          <w:szCs w:val="22"/>
        </w:rPr>
        <w:t xml:space="preserve">Farmer’s Choice premium portfolio expansion; emerging Tanzanian, Ugandan, Rwandan, Burundian premium retail pork brands; significant trajectory through 2024–2026 urban supermarket integration.</w:t>
      </w:r>
    </w:p>
    <w:p>
      <w:pPr>
        <w:pStyle w:val="ListParagraph"/>
        <w:numPr>
          <w:ilvl w:val="0"/>
          <w:numId w:val="2"/>
        </w:numPr>
        <w:spacing w:after="80" w:line="290"/>
      </w:pPr>
      <w:r>
        <w:rPr>
          <w:rFonts w:ascii="Calibri" w:cs="Calibri" w:eastAsia="Calibri" w:hAnsi="Calibri"/>
          <w:b/>
          <w:bCs/>
          <w:color w:val="1B1B1B"/>
          <w:sz w:val="22"/>
          <w:szCs w:val="22"/>
        </w:rPr>
        <w:t xml:space="preserve">Bacon-and-ham processing capacity scale-up: </w:t>
      </w:r>
      <w:r>
        <w:rPr>
          <w:rFonts w:ascii="Calibri" w:cs="Calibri" w:eastAsia="Calibri" w:hAnsi="Calibri"/>
          <w:color w:val="1B1B1B"/>
          <w:sz w:val="22"/>
          <w:szCs w:val="22"/>
        </w:rPr>
        <w:t xml:space="preserve">Emerging regional bacon-and-ham processing operations paralleling Farmer’s Choice regional reference; structural commercial-development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Artisan cured-pork-and-charcuterie commercial expansion: </w:t>
      </w:r>
      <w:r>
        <w:rPr>
          <w:rFonts w:ascii="Calibri" w:cs="Calibri" w:eastAsia="Calibri" w:hAnsi="Calibri"/>
          <w:color w:val="1B1B1B"/>
          <w:sz w:val="22"/>
          <w:szCs w:val="22"/>
        </w:rPr>
        <w:t xml:space="preserve">Emerging premium artisan cured-pork-and-charcuterie operations (parma-style, prosciutto-style, salami specialty); emerging regional commercial-development reference; structural niche premium-trajectory.</w:t>
      </w:r>
    </w:p>
    <w:p>
      <w:pPr>
        <w:pStyle w:val="ListParagraph"/>
        <w:numPr>
          <w:ilvl w:val="0"/>
          <w:numId w:val="2"/>
        </w:numPr>
        <w:spacing w:after="80" w:line="290"/>
      </w:pPr>
      <w:r>
        <w:rPr>
          <w:rFonts w:ascii="Calibri" w:cs="Calibri" w:eastAsia="Calibri" w:hAnsi="Calibri"/>
          <w:b/>
          <w:bCs/>
          <w:color w:val="1B1B1B"/>
          <w:sz w:val="22"/>
          <w:szCs w:val="22"/>
        </w:rPr>
        <w:t xml:space="preserve">Regional pork-product cross-border trade: </w:t>
      </w:r>
      <w:r>
        <w:rPr>
          <w:rFonts w:ascii="Calibri" w:cs="Calibri" w:eastAsia="Calibri" w:hAnsi="Calibri"/>
          <w:color w:val="1B1B1B"/>
          <w:sz w:val="22"/>
          <w:szCs w:val="22"/>
        </w:rPr>
        <w:t xml:space="preserve">Emerging EAC-and-COMESA pork-product cross-border trade; significant emerging regional commercial trajectory through 2024–2026 alongside regulatory framework development.</w:t>
      </w:r>
    </w:p>
    <w:p>
      <w:pPr>
        <w:pStyle w:val="ListParagraph"/>
        <w:numPr>
          <w:ilvl w:val="0"/>
          <w:numId w:val="2"/>
        </w:numPr>
        <w:spacing w:after="80" w:line="290"/>
      </w:pPr>
      <w:r>
        <w:rPr>
          <w:rFonts w:ascii="Calibri" w:cs="Calibri" w:eastAsia="Calibri" w:hAnsi="Calibri"/>
          <w:b/>
          <w:bCs/>
          <w:color w:val="1B1B1B"/>
          <w:sz w:val="22"/>
          <w:szCs w:val="22"/>
        </w:rPr>
        <w:t xml:space="preserve">Pig-skin and leather-industry value-add expansion: </w:t>
      </w:r>
      <w:r>
        <w:rPr>
          <w:rFonts w:ascii="Calibri" w:cs="Calibri" w:eastAsia="Calibri" w:hAnsi="Calibri"/>
          <w:color w:val="1B1B1B"/>
          <w:sz w:val="22"/>
          <w:szCs w:val="22"/>
        </w:rPr>
        <w:t xml:space="preserve">Emerging regional pig-skin-and-leather industry value-add commercial expansion (footwear, accessories, leather goods); KLDC-coordinated Kenyan operations; emerging Tanzanian, Ugandan, Rwandan tanneries.</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highland pork brands; emerging organic-certified pork operations; grass-fed-and-pasture-raised commercial differentiation; emerging artisan biltong-style cured pork operations; emerging premium pork charcuterie commercial product lines.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Premium retail certification: HACCP and ISO 22000 for premium operations; emerging organic certification; emerging GLOBAL G.A.P. premium-pork framework alignment.</w:t>
      </w:r>
    </w:p>
    <w:p>
      <w:pPr>
        <w:pStyle w:val="ListParagraph"/>
        <w:numPr>
          <w:ilvl w:val="0"/>
          <w:numId w:val="2"/>
        </w:numPr>
        <w:spacing w:after="80" w:line="290"/>
      </w:pPr>
      <w:r>
        <w:rPr>
          <w:rFonts w:ascii="Calibri" w:cs="Calibri" w:eastAsia="Calibri" w:hAnsi="Calibri"/>
          <w:color w:val="1B1B1B"/>
          <w:sz w:val="22"/>
          <w:szCs w:val="22"/>
        </w:rPr>
        <w:t xml:space="preserve">Bacon-and-ham processing: emerging regional regulatory frameworks for cured-pork operations; structural HACCP-aligned commercial protocols.</w:t>
      </w:r>
    </w:p>
    <w:p>
      <w:pPr>
        <w:pStyle w:val="ListParagraph"/>
        <w:numPr>
          <w:ilvl w:val="0"/>
          <w:numId w:val="2"/>
        </w:numPr>
        <w:spacing w:after="80" w:line="290"/>
      </w:pPr>
      <w:r>
        <w:rPr>
          <w:rFonts w:ascii="Calibri" w:cs="Calibri" w:eastAsia="Calibri" w:hAnsi="Calibri"/>
          <w:color w:val="1B1B1B"/>
          <w:sz w:val="22"/>
          <w:szCs w:val="22"/>
        </w:rPr>
        <w:t xml:space="preserve">Sausage processing: emerging regional regulatory frameworks; structural HACCP-aligned commercial protocols.</w:t>
      </w:r>
    </w:p>
    <w:p>
      <w:pPr>
        <w:pStyle w:val="ListParagraph"/>
        <w:numPr>
          <w:ilvl w:val="0"/>
          <w:numId w:val="2"/>
        </w:numPr>
        <w:spacing w:after="80" w:line="290"/>
      </w:pPr>
      <w:r>
        <w:rPr>
          <w:rFonts w:ascii="Calibri" w:cs="Calibri" w:eastAsia="Calibri" w:hAnsi="Calibri"/>
          <w:color w:val="1B1B1B"/>
          <w:sz w:val="22"/>
          <w:szCs w:val="22"/>
        </w:rPr>
        <w:t xml:space="preserve">Pig-skin/leather: KLDC-aligned standards (Kenya); emerging regional regulatory frameworks for tannery-and-leather-manufacturing operations.</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HACCP and ISO 22000 for premium operators; organic certification for premium specialty operations.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Major operators: Farmer’s Choice (premium retail and processing — the regional reference); Choppies/Quality Meat Packers (QMP) pork integration; emerging dry-aged and artisan charcuterie operators. Pig-skin and leather: Kenya Leather Industries; Bata Shoe Company; Sandstorm Kenya; Alpharama; KLDC-coordinated.</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Major operators: emerging private commercial pork operators with bacon-and-ham capacity; AGCOT-cluster-affiliated emerging premium operations. Pig-skin and leather: Tanzania Leather Industry; emerging tanneries.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Major operators: Quality Cuts Uganda pork integration; emerging private commercial pork operators with processing capacity. Pig-skin and leather: Uganda Leather Industry.</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Major operators: emerging cooperative-and-commercial pork operations. Pig-skin and leather: emerging Rwanda leather industry.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Major operators: emerging cooperative-and-commercial operations. Pig-skin and leather: emerging Burundi leather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Specialty and value-add pig operations are the regional commercial-development trajectory beyond commodity pork baseline. The Farmer’s Choice bacon-and-ham-and-sausage premium portfolio anchors Kenyan and emerging regional reference; structural pig-skin-and-leather industry by-product value chain; emerging artisan cured-pork-and-charcuterie commercial expansion together provide the commercial proposition.</w:t>
      </w:r>
    </w:p>
    <w:p>
      <w:pPr>
        <w:spacing w:after="120" w:line="300"/>
      </w:pPr>
      <w:r>
        <w:rPr>
          <w:rFonts w:ascii="Calibri" w:cs="Calibri" w:eastAsia="Calibri" w:hAnsi="Calibri"/>
          <w:color w:val="1B1B1B"/>
          <w:sz w:val="22"/>
          <w:szCs w:val="22"/>
        </w:rPr>
        <w:t xml:space="preserve">For commercial operators and impact investors, scaling premium retail brand expansion, bacon-and-ham processing capacity, and artisan cured-pork-and-charcuterie operations represents the regional pig industry premium-retail commercial-development trajectory. For smallholder commercial integration, participation in cooperative-affiliated quality-graded production with structural premium-pricing access through cooperative-aggregator-and-processor-and-premium-retail networks. For governments, supporting emerging premium specialty regulatory frameworks and pig-skin-and-leather industry development anchors the regional public-sector contribution — within the structural ASF-management and domestic-and-regional commercial-development framework.</w:t>
      </w:r>
    </w:p>
    <w:p>
      <w:r>
        <w:br w:type="page"/>
      </w:r>
    </w:p>
    <w:p>
      <w:pPr>
        <w:pStyle w:val="Heading2"/>
        <w:spacing w:after="100" w:before="220"/>
      </w:pPr>
      <w:r>
        <w:rPr>
          <w:rFonts w:ascii="Calibri" w:cs="Calibri" w:eastAsia="Calibri" w:hAnsi="Calibri"/>
          <w:b/>
          <w:bCs/>
          <w:color w:val="2E7D32"/>
          <w:sz w:val="26"/>
          <w:szCs w:val="26"/>
        </w:rPr>
        <w:t xml:space="preserve">Cross-cutting recommendations</w:t>
      </w:r>
    </w:p>
    <w:p>
      <w:pPr>
        <w:pStyle w:val="ListParagraph"/>
        <w:numPr>
          <w:ilvl w:val="0"/>
          <w:numId w:val="2"/>
        </w:numPr>
        <w:spacing w:after="80" w:line="290"/>
      </w:pPr>
      <w:r>
        <w:rPr>
          <w:rFonts w:ascii="Calibri" w:cs="Calibri" w:eastAsia="Calibri" w:hAnsi="Calibri"/>
          <w:b/>
          <w:bCs/>
          <w:color w:val="2E7D32"/>
          <w:sz w:val="22"/>
          <w:szCs w:val="22"/>
        </w:rPr>
        <w:t xml:space="preserve">Anchor structural ASF biosecurity discipline across smallholder-and-commercial pig industry. </w:t>
      </w:r>
      <w:r>
        <w:rPr>
          <w:rFonts w:ascii="Calibri" w:cs="Calibri" w:eastAsia="Calibri" w:hAnsi="Calibri"/>
          <w:color w:val="1B1B1B"/>
          <w:sz w:val="22"/>
          <w:szCs w:val="22"/>
        </w:rPr>
        <w:t xml:space="preserve">African Swine Fever is structurally the defining issue for regional pig industry. Cooperative-and-commercial pig biosecurity infrastructure (controlled-access farms, swill-feeding heat-treatment, vehicle-and-personnel disinfection, structural ASF-monitoring-and-response capacity) anchors regional pig commercial-development trajectory.</w:t>
      </w:r>
    </w:p>
    <w:p>
      <w:pPr>
        <w:pStyle w:val="ListParagraph"/>
        <w:numPr>
          <w:ilvl w:val="0"/>
          <w:numId w:val="2"/>
        </w:numPr>
        <w:spacing w:after="80" w:line="290"/>
      </w:pPr>
      <w:r>
        <w:rPr>
          <w:rFonts w:ascii="Calibri" w:cs="Calibri" w:eastAsia="Calibri" w:hAnsi="Calibri"/>
          <w:b/>
          <w:bCs/>
          <w:color w:val="2E7D32"/>
          <w:sz w:val="22"/>
          <w:szCs w:val="22"/>
        </w:rPr>
        <w:t xml:space="preserve">Scale cooperative smallholder pig commercial integration (especially in Ugandan smallholder zones). </w:t>
      </w:r>
      <w:r>
        <w:rPr>
          <w:rFonts w:ascii="Calibri" w:cs="Calibri" w:eastAsia="Calibri" w:hAnsi="Calibri"/>
          <w:color w:val="1B1B1B"/>
          <w:sz w:val="22"/>
          <w:szCs w:val="22"/>
        </w:rPr>
        <w:t xml:space="preserve">Uganda holds one of Africa’s highest per-capita pig populations driven by structural smallholder pig production base. Cooperative pig-cooperative-affiliated production-and-aggregator infrastructure (PPM-U-affiliated and similar networks) addresses the structural smallholder informal-trade commercial-grade-access gap and represents one of the strongest available regional pig-industry commercial-development opportunities.</w:t>
      </w:r>
    </w:p>
    <w:p>
      <w:pPr>
        <w:pStyle w:val="ListParagraph"/>
        <w:numPr>
          <w:ilvl w:val="0"/>
          <w:numId w:val="2"/>
        </w:numPr>
        <w:spacing w:after="80" w:line="290"/>
      </w:pPr>
      <w:r>
        <w:rPr>
          <w:rFonts w:ascii="Calibri" w:cs="Calibri" w:eastAsia="Calibri" w:hAnsi="Calibri"/>
          <w:b/>
          <w:bCs/>
          <w:color w:val="2E7D32"/>
          <w:sz w:val="22"/>
          <w:szCs w:val="22"/>
        </w:rPr>
        <w:t xml:space="preserve">Replicate the Farmer’s Choice integrated commercial-development model across regional. </w:t>
      </w:r>
      <w:r>
        <w:rPr>
          <w:rFonts w:ascii="Calibri" w:cs="Calibri" w:eastAsia="Calibri" w:hAnsi="Calibri"/>
          <w:color w:val="1B1B1B"/>
          <w:sz w:val="22"/>
          <w:szCs w:val="22"/>
        </w:rPr>
        <w:t xml:space="preserve">The Farmer’s Choice integrated contract-supply-and-slaughter-and-processing-and-premium-retail commercial-development reference has shaped Kenyan pork industry for over four decades. Emerging Tanzanian, Ugandan, Rwandan, Burundian commercial pork operators paralleling the structural Farmer’s Choice commercial-development model represent the regional pig industry commercial-development trajectory.</w:t>
      </w:r>
    </w:p>
    <w:p>
      <w:pPr>
        <w:pStyle w:val="ListParagraph"/>
        <w:numPr>
          <w:ilvl w:val="0"/>
          <w:numId w:val="2"/>
        </w:numPr>
        <w:spacing w:after="80" w:line="290"/>
      </w:pPr>
      <w:r>
        <w:rPr>
          <w:rFonts w:ascii="Calibri" w:cs="Calibri" w:eastAsia="Calibri" w:hAnsi="Calibri"/>
          <w:b/>
          <w:bCs/>
          <w:color w:val="2E7D32"/>
          <w:sz w:val="22"/>
          <w:szCs w:val="22"/>
        </w:rPr>
        <w:t xml:space="preserve">Develop bacon-and-ham-and-sausage processing capacity across regional. </w:t>
      </w:r>
      <w:r>
        <w:rPr>
          <w:rFonts w:ascii="Calibri" w:cs="Calibri" w:eastAsia="Calibri" w:hAnsi="Calibri"/>
          <w:color w:val="1B1B1B"/>
          <w:sz w:val="22"/>
          <w:szCs w:val="22"/>
        </w:rPr>
        <w:t xml:space="preserve">Bacon, ham, and sausage are the regional flagship pork-product categories with structural Farmer’s Choice dominance and emerging regional operator commercial-development trajectory. Investment in regional bacon-and-ham processing capacity alongside emerging premium retail brand portfolio expansion represents the regional pig-industry premium-retail commercial-development trajectory.</w:t>
      </w:r>
    </w:p>
    <w:p>
      <w:pPr>
        <w:pStyle w:val="ListParagraph"/>
        <w:numPr>
          <w:ilvl w:val="0"/>
          <w:numId w:val="2"/>
        </w:numPr>
        <w:spacing w:after="80" w:line="290"/>
      </w:pPr>
      <w:r>
        <w:rPr>
          <w:rFonts w:ascii="Calibri" w:cs="Calibri" w:eastAsia="Calibri" w:hAnsi="Calibri"/>
          <w:b/>
          <w:bCs/>
          <w:color w:val="2E7D32"/>
          <w:sz w:val="22"/>
          <w:szCs w:val="22"/>
        </w:rPr>
        <w:t xml:space="preserve">Build emerging EAC-and-COMESA cross-border pork trade infrastructure. </w:t>
      </w:r>
      <w:r>
        <w:rPr>
          <w:rFonts w:ascii="Calibri" w:cs="Calibri" w:eastAsia="Calibri" w:hAnsi="Calibri"/>
          <w:color w:val="1B1B1B"/>
          <w:sz w:val="22"/>
          <w:szCs w:val="22"/>
        </w:rPr>
        <w:t xml:space="preserve">Given structural ASF-and-Halal export limitations, regional pork commercial-development is principally domestic-and-regional focused. Emerging EAC-and-COMESA cross-border pork trade through regional regulatory framework development and structural cold-chain logistics expansion represents the structural emerging regional commercial trajectory.</w:t>
      </w:r>
    </w:p>
    <w:p>
      <w:pPr>
        <w:pStyle w:val="ListParagraph"/>
        <w:numPr>
          <w:ilvl w:val="0"/>
          <w:numId w:val="2"/>
        </w:numPr>
        <w:spacing w:after="80" w:line="290"/>
      </w:pPr>
      <w:r>
        <w:rPr>
          <w:rFonts w:ascii="Calibri" w:cs="Calibri" w:eastAsia="Calibri" w:hAnsi="Calibri"/>
          <w:b/>
          <w:bCs/>
          <w:color w:val="2E7D32"/>
          <w:sz w:val="22"/>
          <w:szCs w:val="22"/>
        </w:rPr>
        <w:t xml:space="preserve">Integrate pig manure-and-biogas systems for smallholder energy and environmental management. </w:t>
      </w:r>
      <w:r>
        <w:rPr>
          <w:rFonts w:ascii="Calibri" w:cs="Calibri" w:eastAsia="Calibri" w:hAnsi="Calibri"/>
          <w:color w:val="1B1B1B"/>
          <w:sz w:val="22"/>
          <w:szCs w:val="22"/>
        </w:rPr>
        <w:t xml:space="preserve">Pig manure as biogas-feedstock provides structural household-energy integration alongside structural environmental-and-climate-management commercial trajectory. Cooperative-and-extension-supported smallholder biogas integration represents emerging regional pig-system commercial-development reference.</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Issue is the fourth of fourteen planned in the Kilimokwanza Livestock, Fisheries &amp; Apiculture Series. Pig industry infrastructure, equipment availability, processor commercial structures, regulatory standards (particularly emerging ASF biosecurity protocols and EAC-and-COMESA cross-border pork trade frameworks), and emerging cooperative smallholder pig commercial-integration pilots all evolve year-by-year. Corrections, updates, and contemporary commercial-pilot information from extension officers, equipment suppliers, processors, exporters, cooperatives and producers are welcomed at editor@kilimokwanza.org.</w:t>
      </w:r>
    </w:p>
    <w:p>
      <w:pPr>
        <w:spacing w:after="120" w:line="300"/>
      </w:pPr>
      <w:r>
        <w:rPr>
          <w:rFonts w:ascii="Calibri" w:cs="Calibri" w:eastAsia="Calibri" w:hAnsi="Calibri"/>
          <w:color w:val="1B1B1B"/>
          <w:sz w:val="22"/>
          <w:szCs w:val="22"/>
        </w:rPr>
        <w:t xml:space="preserve">Coming next — Issue 5 • Layers (commercial egg production): Commercial layer-hen industry across the regional commercial poultry sector; ISA Brown, Hyline, Lohmann, Bovans imported commercial layer breeds; Kenchic-affiliated commercial integration; emerging Tanzanian, Ugandan, Rwandan commercial layer operations; structural Newcastle Disease, Avian Influenza, Infectious Bronchitis veterinary discipline; cooperative smallholder layer aggregator emerging commercial-development reference; egg-quality-and-grading commercial-grade access discipline.</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Pigs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Livestock-Fisheries-Apiculture / Issue 4  •  2026  •  Pigs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Livestock, Fisheries &amp; Apiculture Series / Issue 4 — Pigs</dc:title>
  <dc:creator>Kilimokwanza.org</dc:creator>
  <dc:description>A deep-dive audit of regional pig operations across breeds &amp; genetics, production systems, feed &amp; nutrition, veterinary services, slaughter &amp; carcass quality &amp; cold chain, commercial aggregation &amp; processing, and specialty &amp; value-add domains.</dc:description>
  <cp:lastModifiedBy>Un-named</cp:lastModifiedBy>
  <cp:revision>1</cp:revision>
  <dcterms:created xsi:type="dcterms:W3CDTF">2026-05-03T12:26:44.743Z</dcterms:created>
  <dcterms:modified xsi:type="dcterms:W3CDTF">2026-05-03T12:26:44.760Z</dcterms:modified>
</cp:coreProperties>
</file>

<file path=docProps/custom.xml><?xml version="1.0" encoding="utf-8"?>
<Properties xmlns="http://schemas.openxmlformats.org/officeDocument/2006/custom-properties" xmlns:vt="http://schemas.openxmlformats.org/officeDocument/2006/docPropsVTypes"/>
</file>