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drawing>
          <wp:inline distT="0" distB="0" distL="0" distR="0">
            <wp:extent cx="5943600" cy="9715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 w:before="60"/>
      </w:pPr>
      <w:r>
        <w:rPr>
          <w:rFonts w:ascii="Inter" w:cs="Inter" w:eastAsia="Inter" w:hAnsi="Inter"/>
          <w:b/>
          <w:bCs/>
          <w:i/>
          <w:iCs/>
          <w:color w:val="C8861E"/>
          <w:sz w:val="20"/>
          <w:szCs w:val="20"/>
        </w:rPr>
        <w:t xml:space="preserve">Agriculture First. Africa Forward.</w:t>
      </w:r>
    </w:p>
    <w:p>
      <w:pPr>
        <w:spacing w:after="40" w:before="200"/>
      </w:pPr>
      <w:r>
        <w:rPr>
          <w:rFonts w:ascii="Inter" w:cs="Inter" w:eastAsia="Inter" w:hAnsi="Inter"/>
          <w:b/>
          <w:bCs/>
          <w:color w:val="164E2A"/>
          <w:sz w:val="46"/>
          <w:szCs w:val="46"/>
        </w:rPr>
        <w:t xml:space="preserve">Hass Avocado Farming in East Africa</w:t>
      </w:r>
    </w:p>
    <w:p>
      <w:pPr>
        <w:spacing w:after="60"/>
      </w:pPr>
      <w:r>
        <w:rPr>
          <w:rFonts w:ascii="Inter" w:cs="Inter" w:eastAsia="Inter" w:hAnsi="Inter"/>
          <w:color w:val="1F6F3D"/>
          <w:sz w:val="26"/>
          <w:szCs w:val="26"/>
        </w:rPr>
        <w:t xml:space="preserve">The Complete Deep-Dive Value-Chain &amp; Profit Guide</w:t>
      </w:r>
    </w:p>
    <w:p>
      <w:pPr>
        <w:pBdr>
          <w:bottom w:val="single" w:color="E8A33A" w:sz="18" w:space="1"/>
        </w:pBdr>
        <w:spacing w:after="120" w:before="0"/>
      </w:pPr>
      <w:r>
        <w:rPr>
          <w:sz w:val="2"/>
          <w:szCs w:val="2"/>
        </w:rPr>
        <w:t xml:space="preserve"/>
      </w:r>
    </w:p>
    <w:p>
      <w:pPr>
        <w:spacing w:after="200"/>
      </w:pPr>
      <w:r>
        <w:rPr>
          <w:rFonts w:ascii="Inter" w:cs="Inter" w:eastAsia="Inter" w:hAnsi="Inter"/>
          <w:color w:val="1F1B16"/>
          <w:sz w:val="22"/>
          <w:szCs w:val="22"/>
        </w:rPr>
        <w:t xml:space="preserve">Kenya · Tanzania · Ethiopia</w:t>
      </w:r>
    </w:p>
    <w:p>
      <w:pPr>
        <w:spacing w:after="0" w:before="80"/>
      </w:pPr>
      <w:r>
        <w:rPr>
          <w:rFonts w:ascii="Inter" w:cs="Inter" w:eastAsia="Inter" w:hAnsi="Inter"/>
          <w:b/>
          <w:bCs/>
          <w:color w:val="1F6F3D"/>
          <w:sz w:val="20"/>
          <w:szCs w:val="20"/>
        </w:rPr>
        <w:t xml:space="preserve">East Africa Crop Value-Chain Series</w:t>
      </w:r>
    </w:p>
    <w:p>
      <w:pPr>
        <w:spacing w:after="0"/>
      </w:pPr>
      <w:r>
        <w:rPr>
          <w:rFonts w:ascii="Inter" w:cs="Inter" w:eastAsia="Inter" w:hAnsi="Inter"/>
          <w:color w:val="6B6B6B"/>
          <w:sz w:val="18"/>
          <w:szCs w:val="18"/>
        </w:rPr>
        <w:t xml:space="preserve">Research by AppsValle for Kilimokwanza.org</w:t>
      </w:r>
    </w:p>
    <w:p>
      <w:pPr>
        <w:spacing w:after="0" w:before="40"/>
      </w:pPr>
      <w:r>
        <w:rPr>
          <w:rFonts w:ascii="Inter" w:cs="Inter" w:eastAsia="Inter" w:hAnsi="Inter"/>
          <w:b/>
          <w:bCs/>
          <w:color w:val="C8861E"/>
          <w:sz w:val="17"/>
          <w:szCs w:val="17"/>
        </w:rPr>
        <w:t xml:space="preserve">2026 Edition  ·  Version 1.0</w:t>
      </w:r>
    </w:p>
    <w:p>
      <w:r>
        <w:br w:type="page"/>
      </w:r>
    </w:p>
    <w:p>
      <w:pPr>
        <w:spacing w:after="90" w:before="240"/>
      </w:pPr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Contents</w:t>
      </w:r>
    </w:p>
    <w:p>
      <w:pPr>
        <w:pBdr>
          <w:bottom w:val="single" w:color="E8A33A" w:sz="10" w:space="1"/>
        </w:pBdr>
        <w:spacing w:after="160" w:before="0"/>
      </w:pPr>
      <w:r>
        <w:rPr>
          <w:sz w:val="2"/>
          <w:szCs w:val="2"/>
        </w:rPr>
        <w:t xml:space="preserve"/>
      </w:r>
    </w:p>
    <w:p>
      <w:pPr>
        <w:spacing w:after="30"/>
        <w:ind w:left="120"/>
      </w:pPr>
      <w:hyperlink w:history="1" w:anchor="sec0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1. The opportunity — the export-boom orchard asset</w:t>
        </w:r>
      </w:hyperlink>
    </w:p>
    <w:p>
      <w:pPr>
        <w:spacing w:after="30"/>
        <w:ind w:left="120"/>
      </w:pPr>
      <w:hyperlink w:history="1" w:anchor="sec1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2. Is avocado right for you?</w:t>
        </w:r>
      </w:hyperlink>
    </w:p>
    <w:p>
      <w:pPr>
        <w:spacing w:after="30"/>
        <w:ind w:left="120"/>
      </w:pPr>
      <w:hyperlink w:history="1" w:anchor="sec2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3. Agro-ecological requirements</w:t>
        </w:r>
      </w:hyperlink>
    </w:p>
    <w:p>
      <w:pPr>
        <w:spacing w:after="30"/>
        <w:ind w:left="120"/>
      </w:pPr>
      <w:hyperlink w:history="1" w:anchor="sec3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4. Choosing your variety (and pollination)</w:t>
        </w:r>
      </w:hyperlink>
    </w:p>
    <w:p>
      <w:pPr>
        <w:spacing w:after="30"/>
        <w:ind w:left="120"/>
      </w:pPr>
      <w:hyperlink w:history="1" w:anchor="sec4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5. The establishment-to-bearing calendar</w:t>
        </w:r>
      </w:hyperlink>
    </w:p>
    <w:p>
      <w:pPr>
        <w:spacing w:after="30"/>
        <w:ind w:left="120"/>
      </w:pPr>
      <w:hyperlink w:history="1" w:anchor="sec5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6. Land preparation, planting &amp; spacing</w:t>
        </w:r>
      </w:hyperlink>
    </w:p>
    <w:p>
      <w:pPr>
        <w:spacing w:after="30"/>
        <w:ind w:left="120"/>
      </w:pPr>
      <w:hyperlink w:history="1" w:anchor="sec6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7. The nutrition programme</w:t>
        </w:r>
      </w:hyperlink>
    </w:p>
    <w:p>
      <w:pPr>
        <w:spacing w:after="30"/>
        <w:ind w:left="120"/>
      </w:pPr>
      <w:hyperlink w:history="1" w:anchor="sec7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8. Water &amp; irrigation</w:t>
        </w:r>
      </w:hyperlink>
    </w:p>
    <w:p>
      <w:pPr>
        <w:spacing w:after="30"/>
        <w:ind w:left="120"/>
      </w:pPr>
      <w:hyperlink w:history="1" w:anchor="sec8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9. Pest &amp; disease management</w:t>
        </w:r>
      </w:hyperlink>
    </w:p>
    <w:p>
      <w:pPr>
        <w:spacing w:after="30"/>
        <w:ind w:left="120"/>
      </w:pPr>
      <w:hyperlink w:history="1" w:anchor="sec9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10. Harvesting &amp; post-harvest (export grade)</w:t>
        </w:r>
      </w:hyperlink>
    </w:p>
    <w:p>
      <w:pPr>
        <w:spacing w:after="30"/>
        <w:ind w:left="120"/>
      </w:pPr>
      <w:hyperlink w:history="1" w:anchor="sec10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11. Markets, prices &amp; value addition</w:t>
        </w:r>
      </w:hyperlink>
    </w:p>
    <w:p>
      <w:pPr>
        <w:spacing w:after="30"/>
        <w:ind w:left="120"/>
      </w:pPr>
      <w:hyperlink w:history="1" w:anchor="sec11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12. The economics — the investment curve</w:t>
        </w:r>
      </w:hyperlink>
    </w:p>
    <w:p>
      <w:pPr>
        <w:spacing w:after="30"/>
        <w:ind w:left="120"/>
      </w:pPr>
      <w:hyperlink w:history="1" w:anchor="sec12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13. Common mistakes that destroy avocado profit</w:t>
        </w:r>
      </w:hyperlink>
    </w:p>
    <w:p>
      <w:pPr>
        <w:spacing w:after="30"/>
        <w:ind w:left="120"/>
      </w:pPr>
      <w:hyperlink w:history="1" w:anchor="sec13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14. Risk management matrix</w:t>
        </w:r>
      </w:hyperlink>
    </w:p>
    <w:p>
      <w:pPr>
        <w:spacing w:after="30"/>
        <w:ind w:left="120"/>
      </w:pPr>
      <w:hyperlink w:history="1" w:anchor="sec14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15. Your establishment action plan</w:t>
        </w:r>
      </w:hyperlink>
    </w:p>
    <w:p>
      <w:pPr>
        <w:spacing w:after="30"/>
        <w:ind w:left="120"/>
      </w:pPr>
      <w:hyperlink w:history="1" w:anchor="sec15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16. Frequently asked questions</w:t>
        </w:r>
      </w:hyperlink>
    </w:p>
    <w:p>
      <w:r>
        <w:br w:type="page"/>
      </w:r>
    </w:p>
    <w:p>
      <w:pPr>
        <w:pStyle w:val="Heading1"/>
        <w:spacing w:after="90" w:before="240"/>
      </w:pPr>
      <w:bookmarkStart w:name="sec0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1. The opportunity — the export-boom orchard asset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p>
      <w:pPr>
        <w:spacing w:after="12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Avocado — above all the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Hass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variety — is East Africa's standout fruit-export success of the past decade, riding surging demand from Europe, the Middle East, India and China. It is a long-term, appreciating asset: trees take three to four years to bear, then crop for </w:t>
      </w:r>
      <w:r>
        <w:rPr>
          <w:rFonts w:ascii="Inter" w:cs="Inter" w:eastAsia="Inter" w:hAnsi="Inter"/>
          <w:i/>
          <w:iCs/>
          <w:color w:val="1F1B16"/>
          <w:sz w:val="21"/>
          <w:szCs w:val="21"/>
        </w:rPr>
        <w:t xml:space="preserve">decades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, and a mature orchard is among the highest-value uses of highland land. Kenya is now a leading global supplier; Tanzania's southern highlands and Ethiopia's south-west are scaling fast.</w:t>
      </w:r>
    </w:p>
    <w:p>
      <w:pPr>
        <w:spacing w:after="12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Think of avocado not as a season's crop but as a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patient, high-value perennial investment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. The capital and the three-to-four-year wait to first income are real costs; so is the durable annual income that follows, and the export premium for fruit that meets size and quality standards. The growers who win treat it like planting a long-term asset, intercrop to earn during establishment, and build toward export-grade compliance from day one.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Country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Main zones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Note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Kenya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Murang'a, Kiambu, Meru, Kisii, Nyamira, parts of Rift Valley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Leading global Hass supplier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Tanzania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Njombe, Mbeya, Iringa (southern highlands)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Fast-scaling export industry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Ethiopia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South-western highlands (SNNP, Oromia)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Emerging, large potential</w:t>
            </w:r>
          </w:p>
        </w:tc>
      </w:tr>
    </w:tbl>
    <w:p>
      <w:pPr>
        <w:spacing w:after="120"/>
      </w:pPr>
      <w:r>
        <w:rPr>
          <w:sz w:val="2"/>
          <w:szCs w:val="2"/>
        </w:rPr>
        <w:t xml:space="preserve"/>
      </w:r>
    </w:p>
    <w:p>
      <w:pPr>
        <w:pStyle w:val="Heading1"/>
        <w:spacing w:after="90" w:before="240"/>
      </w:pPr>
      <w:bookmarkStart w:name="sec1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2. Is avocado right for you?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Altitude: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1,500–2,100 m is the Hass sweet spot; cooler/warmer affects oil content and season.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Drainage: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Is your soil free-draining? Waterlogging causes root rot, the orchard-killer.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Patience &amp; capital: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Can you wait 3–4 years for meaningful income and fund establishment (and intercrop in the meantime)?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Market route: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Can you reach a reputable exporter or cooperative to access export prices?</w:t>
      </w:r>
    </w:p>
    <w:p>
      <w:pPr>
        <w:pStyle w:val="Heading1"/>
        <w:spacing w:after="90" w:before="240"/>
      </w:pPr>
      <w:bookmarkStart w:name="sec2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3. Agro-ecological requirements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Factor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Requirement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Why it matters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Altitude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800–2,500 m (Hass best 1,500–2,100 m)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Sets oil content, season and quality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Temperature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12–28 °C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Frost-sensitive; extreme heat drops fruit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Rainfall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1,000–1,600 mm well distributed; irrigate dry spells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Drought at flowering/fruit set causes heavy drop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Soil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Deep, free-draining loam; pH 5.0–7.0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1F1B16"/>
                <w:sz w:val="18"/>
                <w:szCs w:val="18"/>
              </w:rPr>
              <w:t xml:space="preserve">Root rot in waterlogged soil</w:t>
            </w: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 — the #1 killer</w:t>
            </w:r>
          </w:p>
        </w:tc>
      </w:tr>
    </w:tbl>
    <w:p>
      <w:pPr>
        <w:spacing w:after="120"/>
      </w:pPr>
      <w:r>
        <w:rPr>
          <w:sz w:val="2"/>
          <w:szCs w:val="2"/>
        </w:rPr>
        <w:t xml:space="preserve"/>
      </w:r>
    </w:p>
    <w:p>
      <w:pPr>
        <w:pStyle w:val="Heading1"/>
        <w:spacing w:after="90" w:before="240"/>
      </w:pPr>
      <w:bookmarkStart w:name="sec3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4. Choosing your variety (and pollination)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Variety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Type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Use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Hass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A-type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The export standard — small/medium, pebbly skin darkening when ripe, long shelf life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Fuerte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B-type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Green-skin; regional + some export; good pollinator for Hass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Pinkerton, Reed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A/B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Season-spread and supplementary export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Local "Kienyeji"/giant green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—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Domestic market and oil extraction</w:t>
            </w:r>
          </w:p>
        </w:tc>
      </w:tr>
    </w:tbl>
    <w:p>
      <w:pPr>
        <w:spacing w:after="120"/>
      </w:pPr>
      <w:r>
        <w:rPr>
          <w:sz w:val="2"/>
          <w:szCs w:val="2"/>
        </w:rPr>
        <w:t xml:space="preserve"/>
      </w:r>
    </w:p>
    <w:p>
      <w:pPr>
        <w:spacing w:after="12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Use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grafted, certified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seedlings (true-to-type and faster bearing than seedling trees). Plant a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mix of A and B flowering types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(e.g. Hass + Fuerte) to improve cross-pollination and fruit set.</w:t>
      </w:r>
    </w:p>
    <w:p>
      <w:pPr>
        <w:pStyle w:val="Heading1"/>
        <w:spacing w:after="90" w:before="240"/>
      </w:pPr>
      <w:bookmarkStart w:name="sec4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5. The establishment-to-bearing calendar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Year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Stage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Key actions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0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Establishment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Plant grafted seedlings into drained, manured pits; stake; mulch; intercrop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1–2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Vegetative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Form the canopy, irrigate dry spells, control weeds/pests, keep intercropping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3–4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First bearing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Light crops begin; focus nutrition on flowering/fruit set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5+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Mature production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Full crops; annual cycle of flowering → set → fill → harvest</w:t>
            </w:r>
          </w:p>
        </w:tc>
      </w:tr>
    </w:tbl>
    <w:p>
      <w:pPr>
        <w:spacing w:after="120"/>
      </w:pPr>
      <w:r>
        <w:rPr>
          <w:sz w:val="2"/>
          <w:szCs w:val="2"/>
        </w:rPr>
        <w:t xml:space="preserve"/>
      </w:r>
    </w:p>
    <w:p>
      <w:pPr>
        <w:spacing w:after="12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Within a bearing year, protect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flowering and fruit set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above all (steady moisture, nutrition) — that is when the crop is made or dropped.</w:t>
      </w:r>
    </w:p>
    <w:p>
      <w:pPr>
        <w:pStyle w:val="Heading1"/>
        <w:spacing w:after="90" w:before="240"/>
      </w:pPr>
      <w:bookmarkStart w:name="sec5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6. Land preparation, planting &amp; spacing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Spacing: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6 × 6 m to 8 × 5 m → ~250–280 trees/acre.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Dig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generous pits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, refill with topsoil + well-rotted manure; on heavy soils,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plant on a mound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to guarantee drainage and avoid root rot.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Intercrop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with short-term crops (beans, vegetables) in years 1–3 to earn income during establishment.</w:t>
      </w:r>
    </w:p>
    <w:p>
      <w:pPr>
        <w:pStyle w:val="Heading1"/>
        <w:spacing w:after="90" w:before="240"/>
      </w:pPr>
      <w:bookmarkStart w:name="sec6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7. The nutrition programme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p>
      <w:pPr>
        <w:spacing w:after="12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Manure-rich establishment, then balanced NPK adjusted to leaf/soil analysis, with attention to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potassium, zinc and boron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for fruit set and quality.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Mulch heavily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to protect the shallow root system and conserve moisture. Avoid chloride-heavy fertilisers (avocado is chloride-sensitive).</w:t>
      </w:r>
    </w:p>
    <w:p>
      <w:pPr>
        <w:pStyle w:val="Heading1"/>
        <w:spacing w:after="90" w:before="240"/>
      </w:pPr>
      <w:bookmarkStart w:name="sec7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8. Water &amp; irrigation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p>
      <w:pPr>
        <w:spacing w:after="12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Most critical during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flowering and fruit set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— drought then causes heavy fruit drop and small fruit (failing export size grades). Drip irrigation through dry spells stabilises yield and size. The flip side is equally important: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never waterlog.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Root rot (</w:t>
      </w:r>
      <w:r>
        <w:rPr>
          <w:rFonts w:ascii="Inter" w:cs="Inter" w:eastAsia="Inter" w:hAnsi="Inter"/>
          <w:i/>
          <w:iCs/>
          <w:color w:val="1F1B16"/>
          <w:sz w:val="21"/>
          <w:szCs w:val="21"/>
        </w:rPr>
        <w:t xml:space="preserve">Phytophthora cinnamomi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) is the most common cause of orchard decline and death — design drainage first.</w:t>
      </w:r>
    </w:p>
    <w:p>
      <w:pPr>
        <w:pStyle w:val="Heading1"/>
        <w:spacing w:after="90" w:before="240"/>
      </w:pPr>
      <w:bookmarkStart w:name="sec8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9. Pest &amp; disease management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Problem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Type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Symptoms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Management</w:t>
            </w:r>
          </w:p>
        </w:tc>
      </w:tr>
      <w:tr>
        <w:trPr>
          <w:tblHeader w:val="false"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Phytophthora root rot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Fungal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Decline, dieback, dead trees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Drainage, tolerant rootstocks, sanitation, avoid waterlogging — the major threat</w:t>
            </w:r>
          </w:p>
        </w:tc>
      </w:tr>
      <w:tr>
        <w:trPr>
          <w:tblHeader w:val="false"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Fruit fly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Pest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Stung, maggoty fruit; </w:t>
            </w:r>
            <w:r>
              <w:rPr>
                <w:rFonts w:ascii="Inter" w:cs="Inter" w:eastAsia="Inter" w:hAnsi="Inter"/>
                <w:b/>
                <w:bCs/>
                <w:color w:val="1F1B16"/>
                <w:sz w:val="18"/>
                <w:szCs w:val="18"/>
              </w:rPr>
              <w:t xml:space="preserve">export rejection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Trapping, sanitation, field hygiene, approved programme</w:t>
            </w:r>
          </w:p>
        </w:tc>
      </w:tr>
      <w:tr>
        <w:trPr>
          <w:tblHeader w:val="false"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False codling moth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Pest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Fruit damage; quarantine pest for EU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Monitoring, sanitation, compliance programme</w:t>
            </w:r>
          </w:p>
        </w:tc>
      </w:tr>
      <w:tr>
        <w:trPr>
          <w:tblHeader w:val="false"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Thrips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Pest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Fruit scarring (downgrades)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Monitoring, targeted control</w:t>
            </w:r>
          </w:p>
        </w:tc>
      </w:tr>
      <w:tr>
        <w:trPr>
          <w:tblHeader w:val="false"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Anthracnose, scales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Fungal/pest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Post-harvest rots; sooty mould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Orchard hygiene, copper sprays, control scale</w:t>
            </w:r>
          </w:p>
        </w:tc>
      </w:tr>
    </w:tbl>
    <w:p>
      <w:pPr>
        <w:spacing w:after="120"/>
      </w:pPr>
      <w:r>
        <w:rPr>
          <w:sz w:val="2"/>
          <w:szCs w:val="2"/>
        </w:rPr>
        <w:t xml:space="preserve"/>
      </w:r>
    </w:p>
    <w:p>
      <w:pPr>
        <w:spacing w:after="12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Export markets enforce strict pest and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residue (MRL)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standards — orchard hygiene and an approved spray programme are mandatory for export, not optional.</w:t>
      </w:r>
    </w:p>
    <w:p>
      <w:pPr>
        <w:pStyle w:val="Heading1"/>
        <w:spacing w:after="90" w:before="240"/>
      </w:pPr>
      <w:bookmarkStart w:name="sec9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10. Harvesting &amp; post-harvest (export grade)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p>
      <w:pPr>
        <w:spacing w:after="12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Hass is harvested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mature-green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(judged by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dry-matter content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, typically ≈21–23%+) and ripens off-tree — the property that built the sea-freight export trade. Pick carefully (no bruising, leave a short stalk), keep cool, and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grade by size to importer count specifications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. Maintain the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cold-chain from orchard to port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; sea-freight export depends on it. Off-grade and local fruit feed the domestic market and oil extraction.</w:t>
      </w:r>
    </w:p>
    <w:p>
      <w:pPr>
        <w:pStyle w:val="Heading1"/>
        <w:spacing w:after="90" w:before="240"/>
      </w:pPr>
      <w:bookmarkStart w:name="sec10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11. Markets, prices &amp; value addition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Channel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Wants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Notes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Export (EU, ME, India, China)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Hass, correct size/dry-matter, MRL-compliant, cold-chain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The premium tier; sea-freight dominates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Domestic fresh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Any grade incl. local types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Steady but lower price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Avocado oil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Off-grade &amp; local fruit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Growing premium industry absorbing seconds</w:t>
            </w:r>
          </w:p>
        </w:tc>
      </w:tr>
    </w:tbl>
    <w:p>
      <w:pPr>
        <w:spacing w:after="120"/>
      </w:pPr>
      <w:r>
        <w:rPr>
          <w:sz w:val="2"/>
          <w:szCs w:val="2"/>
        </w:rPr>
        <w:t xml:space="preserve"/>
      </w:r>
    </w:p>
    <w:p>
      <w:pPr>
        <w:spacing w:after="12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Smallholders reach export through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exporter contracts and cooperatives/aggregators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that handle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GlobalG.A.P.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certification and cold-chain logistics. Certification + reliable volume are the gateway to premium prices. (Note: harvest-date "maturity windows" are sometimes regulated to protect quality/reputation — follow them.)</w:t>
      </w:r>
    </w:p>
    <w:p>
      <w:pPr>
        <w:pStyle w:val="Heading1"/>
        <w:spacing w:after="90" w:before="240"/>
      </w:pPr>
      <w:bookmarkStart w:name="sec11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12. The economics — the investment curve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p>
      <w:pPr>
        <w:spacing w:after="120"/>
      </w:pPr>
      <w:r>
        <w:rPr>
          <w:rFonts w:ascii="Inter" w:cs="Inter" w:eastAsia="Inter" w:hAnsi="Inter"/>
          <w:i/>
          <w:iCs/>
          <w:color w:val="1F1B16"/>
          <w:sz w:val="21"/>
          <w:szCs w:val="21"/>
        </w:rPr>
        <w:t xml:space="preserve">Indicative, per acre (Kenya example). Update with current local prices.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Item (KES)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Establishment (yr 1)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Mature year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Grafted seedlings (~250, Hass + pollinator)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75,000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—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Land prep, pits, manure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60,000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—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Fertiliser + crop protection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20,000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60,000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Irrigation + mulch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40,000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25,000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Labour + harvest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30,000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80,000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1F1B16"/>
                <w:sz w:val="18"/>
                <w:szCs w:val="18"/>
              </w:rPr>
              <w:t xml:space="preserve">Cash cost (indicative)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1F1B16"/>
                <w:sz w:val="18"/>
                <w:szCs w:val="18"/>
              </w:rPr>
              <w:t xml:space="preserve">~225,000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1F1B16"/>
                <w:sz w:val="18"/>
                <w:szCs w:val="18"/>
              </w:rPr>
              <w:t xml:space="preserve">~165,000</w:t>
            </w:r>
          </w:p>
        </w:tc>
      </w:tr>
    </w:tbl>
    <w:p>
      <w:pPr>
        <w:spacing w:after="120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type="dxa" w:w="1872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Scenario (mature year)</w:t>
            </w:r>
          </w:p>
        </w:tc>
        <w:tc>
          <w:tcPr>
            <w:tcW w:type="dxa" w:w="1872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Yield</w:t>
            </w:r>
          </w:p>
        </w:tc>
        <w:tc>
          <w:tcPr>
            <w:tcW w:type="dxa" w:w="1872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Mix</w:t>
            </w:r>
          </w:p>
        </w:tc>
        <w:tc>
          <w:tcPr>
            <w:tcW w:type="dxa" w:w="1872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Revenue</w:t>
            </w:r>
          </w:p>
        </w:tc>
        <w:tc>
          <w:tcPr>
            <w:tcW w:type="dxa" w:w="1872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Net margin</w:t>
            </w:r>
          </w:p>
        </w:tc>
      </w:tr>
      <w:tr>
        <w:trPr>
          <w:tblHeader w:val="false"/>
        </w:trPr>
        <w:tc>
          <w:tcPr>
            <w:tcW w:type="dxa" w:w="1872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Worst (mostly local, poor grade)</w:t>
            </w:r>
          </w:p>
        </w:tc>
        <w:tc>
          <w:tcPr>
            <w:tcW w:type="dxa" w:w="1872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6 t</w:t>
            </w:r>
          </w:p>
        </w:tc>
        <w:tc>
          <w:tcPr>
            <w:tcW w:type="dxa" w:w="1872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local</w:t>
            </w:r>
          </w:p>
        </w:tc>
        <w:tc>
          <w:tcPr>
            <w:tcW w:type="dxa" w:w="1872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~300,000</w:t>
            </w:r>
          </w:p>
        </w:tc>
        <w:tc>
          <w:tcPr>
            <w:tcW w:type="dxa" w:w="1872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1F1B16"/>
                <w:sz w:val="18"/>
                <w:szCs w:val="18"/>
              </w:rPr>
              <w:t xml:space="preserve">~135,000</w:t>
            </w:r>
          </w:p>
        </w:tc>
      </w:tr>
      <w:tr>
        <w:trPr>
          <w:tblHeader w:val="false"/>
        </w:trPr>
        <w:tc>
          <w:tcPr>
            <w:tcW w:type="dxa" w:w="1872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Base (export + local)</w:t>
            </w:r>
          </w:p>
        </w:tc>
        <w:tc>
          <w:tcPr>
            <w:tcW w:type="dxa" w:w="1872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9–10 t</w:t>
            </w:r>
          </w:p>
        </w:tc>
        <w:tc>
          <w:tcPr>
            <w:tcW w:type="dxa" w:w="1872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mixed</w:t>
            </w:r>
          </w:p>
        </w:tc>
        <w:tc>
          <w:tcPr>
            <w:tcW w:type="dxa" w:w="1872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~650,000</w:t>
            </w:r>
          </w:p>
        </w:tc>
        <w:tc>
          <w:tcPr>
            <w:tcW w:type="dxa" w:w="1872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1F1B16"/>
                <w:sz w:val="18"/>
                <w:szCs w:val="18"/>
              </w:rPr>
              <w:t xml:space="preserve">~485,000</w:t>
            </w:r>
          </w:p>
        </w:tc>
      </w:tr>
      <w:tr>
        <w:trPr>
          <w:tblHeader w:val="false"/>
        </w:trPr>
        <w:tc>
          <w:tcPr>
            <w:tcW w:type="dxa" w:w="1872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Best (high export share)</w:t>
            </w:r>
          </w:p>
        </w:tc>
        <w:tc>
          <w:tcPr>
            <w:tcW w:type="dxa" w:w="1872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12–13 t</w:t>
            </w:r>
          </w:p>
        </w:tc>
        <w:tc>
          <w:tcPr>
            <w:tcW w:type="dxa" w:w="1872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export</w:t>
            </w:r>
          </w:p>
        </w:tc>
        <w:tc>
          <w:tcPr>
            <w:tcW w:type="dxa" w:w="1872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~1,000,000+</w:t>
            </w:r>
          </w:p>
        </w:tc>
        <w:tc>
          <w:tcPr>
            <w:tcW w:type="dxa" w:w="1872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1F1B16"/>
                <w:sz w:val="18"/>
                <w:szCs w:val="18"/>
              </w:rPr>
              <w:t xml:space="preserve">~835,000+</w:t>
            </w:r>
          </w:p>
        </w:tc>
      </w:tr>
    </w:tbl>
    <w:p>
      <w:pPr>
        <w:spacing w:after="120"/>
      </w:pPr>
      <w:r>
        <w:rPr>
          <w:sz w:val="2"/>
          <w:szCs w:val="2"/>
        </w:rPr>
        <w:t xml:space="preserve"/>
      </w:r>
    </w:p>
    <w:p>
      <w:pPr>
        <w:spacing w:after="12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The shape is an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investment curve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: years 1–3 are net outflow (offset by intercrops), then a long, rising, durable income for decades. Returns hinge on hitting export grade and securing a reliable buyer.</w:t>
      </w:r>
    </w:p>
    <w:p>
      <w:pPr>
        <w:pStyle w:val="Heading1"/>
        <w:spacing w:after="90" w:before="240"/>
      </w:pPr>
      <w:bookmarkStart w:name="sec12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13. Common mistakes that destroy avocado profit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Planting on poorly drained soil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→ root rot kills the orchard.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Seedling (ungrafted) trees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→ slow, variable, low value.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No pollinator variety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→ poor fruit set.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Neglecting fruit-fly/MRL compliance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→ export rejection.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Selling to brokers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instead of a certified exporter/co-op → lost premium.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No income plan for years 1–3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→ abandoning the orchard before it pays.</w:t>
      </w:r>
    </w:p>
    <w:p>
      <w:pPr>
        <w:pStyle w:val="Heading1"/>
        <w:spacing w:after="90" w:before="240"/>
      </w:pPr>
      <w:bookmarkStart w:name="sec13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14. Risk management matrix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Risk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Likelihood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Impact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Mitigation</w:t>
            </w:r>
          </w:p>
        </w:tc>
      </w:tr>
      <w:tr>
        <w:trPr>
          <w:tblHeader w:val="false"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Root rot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Medium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Very high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Drainage, tolerant rootstock, no waterlogging</w:t>
            </w:r>
          </w:p>
        </w:tc>
      </w:tr>
      <w:tr>
        <w:trPr>
          <w:tblHeader w:val="false"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Export-grade failure (size/MRL/fruit fly)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Medium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High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Spray programme, certification, cold-chain</w:t>
            </w:r>
          </w:p>
        </w:tc>
      </w:tr>
      <w:tr>
        <w:trPr>
          <w:tblHeader w:val="false"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Market access via brokers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High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Medium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Contract with reputable exporters/co-ops</w:t>
            </w:r>
          </w:p>
        </w:tc>
      </w:tr>
      <w:tr>
        <w:trPr>
          <w:tblHeader w:val="false"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Long payback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Certain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Medium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Intercrop years 1–3; treat as long asset</w:t>
            </w:r>
          </w:p>
        </w:tc>
      </w:tr>
      <w:tr>
        <w:trPr>
          <w:tblHeader w:val="false"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Frost/drought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Variable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High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Site selection; irrigation; frost-safe sites</w:t>
            </w:r>
          </w:p>
        </w:tc>
      </w:tr>
    </w:tbl>
    <w:p>
      <w:pPr>
        <w:spacing w:after="120"/>
      </w:pPr>
      <w:r>
        <w:rPr>
          <w:sz w:val="2"/>
          <w:szCs w:val="2"/>
        </w:rPr>
        <w:t xml:space="preserve"/>
      </w:r>
    </w:p>
    <w:p>
      <w:pPr>
        <w:pStyle w:val="Heading1"/>
        <w:spacing w:after="90" w:before="240"/>
      </w:pPr>
      <w:bookmarkStart w:name="sec14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15. Your establishment action plan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Pick a free-draining site at 1,500–2,100 m;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design drainage first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Plant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grafted Hass + a B-type pollinator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(e.g. Fuerte) at 6×6–8×5 m.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Manure-rich pits, stake,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mulch heavily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Intercrop years 1–3 for income.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Irrigate through flowering/fruit set; never waterlog.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Build toward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GlobalG.A.P.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and an exporter/co-op contract.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Harvest by dry-matter test; keep the cold-chain unbroken.</w:t>
      </w:r>
    </w:p>
    <w:p>
      <w:pPr>
        <w:pStyle w:val="Heading1"/>
        <w:spacing w:after="90" w:before="240"/>
      </w:pPr>
      <w:bookmarkStart w:name="sec15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16. Frequently asked questions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p>
      <w:pPr>
        <w:spacing w:after="12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How soon will it pay?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Grafted Hass begins light bearing in years 3–4 and reaches full production around year 5–7. Intercrop in the meantime so the land earns during establishment.</w:t>
      </w:r>
    </w:p>
    <w:p>
      <w:pPr>
        <w:spacing w:after="12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Why are my trees declining/dying?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Most often root rot from poor drainage. Improve drainage, use tolerant rootstocks, never waterlog, and avoid over-irrigation.</w:t>
      </w:r>
    </w:p>
    <w:p>
      <w:pPr>
        <w:spacing w:after="12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Do I need more than one variety?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Yes — plant a B-type pollinator (e.g. Fuerte) among your A-type Hass to lift fruit set.</w:t>
      </w:r>
    </w:p>
    <w:p>
      <w:pPr>
        <w:spacing w:after="12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How do I sell for export prices?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Through a reputable exporter or a certified cooperative that handles GlobalG.A.P. and cold-chain. Meet the size/dry-matter/MRL standards and harvest in the permitted window.</w:t>
      </w:r>
    </w:p>
    <w:p>
      <w:pPr>
        <w:spacing w:after="12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Is avocado oil worth it?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It is a growing premium outlet, especially for off-grade and local fruit — useful for capturing value from seconds, usually via a processor rather than on-farm.</w:t>
      </w:r>
    </w:p>
    <w:p>
      <w:pPr>
        <w:pBdr>
          <w:bottom w:val="single" w:color="D8D2C4" w:sz="8" w:space="1"/>
        </w:pBdr>
        <w:spacing w:after="120" w:before="60"/>
      </w:pPr>
      <w:r>
        <w:rPr>
          <w:sz w:val="2"/>
          <w:szCs w:val="2"/>
        </w:rPr>
        <w:t xml:space="preserve"/>
      </w:r>
    </w:p>
    <w:p>
      <w:pPr>
        <w:pStyle w:val="Heading2"/>
        <w:spacing w:after="70" w:before="160"/>
      </w:pPr>
      <w:r>
        <w:rPr>
          <w:rFonts w:ascii="Inter" w:cs="Inter" w:eastAsia="Inter" w:hAnsi="Inter"/>
          <w:b/>
          <w:bCs/>
          <w:color w:val="164E2A"/>
          <w:sz w:val="23"/>
          <w:szCs w:val="23"/>
        </w:rPr>
        <w:t xml:space="preserve">About this guide</w:t>
      </w:r>
    </w:p>
    <w:p>
      <w:pPr>
        <w:spacing w:after="120"/>
      </w:pPr>
      <w:r>
        <w:rPr>
          <w:rFonts w:ascii="Inter" w:cs="Inter" w:eastAsia="Inter" w:hAnsi="Inter"/>
          <w:i/>
          <w:iCs/>
          <w:color w:val="1F1B16"/>
          <w:sz w:val="21"/>
          <w:szCs w:val="21"/>
        </w:rPr>
        <w:t xml:space="preserve">Research by </w:t>
      </w:r>
      <w:r>
        <w:rPr>
          <w:rFonts w:ascii="Inter" w:cs="Inter" w:eastAsia="Inter" w:hAnsi="Inter"/>
          <w:i/>
          <w:iCs/>
          <w:color w:val="1F1B16"/>
          <w:sz w:val="21"/>
          <w:szCs w:val="21"/>
        </w:rPr>
        <w:t xml:space="preserve">AppsValle</w:t>
      </w:r>
      <w:r>
        <w:rPr>
          <w:rFonts w:ascii="Inter" w:cs="Inter" w:eastAsia="Inter" w:hAnsi="Inter"/>
          <w:i/>
          <w:iCs/>
          <w:color w:val="1F1B16"/>
          <w:sz w:val="21"/>
          <w:szCs w:val="21"/>
        </w:rPr>
        <w:t xml:space="preserve"> for </w:t>
      </w:r>
      <w:r>
        <w:rPr>
          <w:rFonts w:ascii="Inter" w:cs="Inter" w:eastAsia="Inter" w:hAnsi="Inter"/>
          <w:i/>
          <w:iCs/>
          <w:color w:val="1F1B16"/>
          <w:sz w:val="21"/>
          <w:szCs w:val="21"/>
        </w:rPr>
        <w:t xml:space="preserve">Kilimokwanza.org</w:t>
      </w:r>
      <w:r>
        <w:rPr>
          <w:rFonts w:ascii="Inter" w:cs="Inter" w:eastAsia="Inter" w:hAnsi="Inter"/>
          <w:i/>
          <w:iCs/>
          <w:color w:val="1F1B16"/>
          <w:sz w:val="21"/>
          <w:szCs w:val="21"/>
        </w:rPr>
        <w:t xml:space="preserve"> — East Africa Crop Value-Chain Series (deep edition). An original AppsValle research compilation. Visit www.kilimokwanza.org.</w:t>
      </w:r>
    </w:p>
    <w:p>
      <w:pPr>
        <w:pBdr>
          <w:top w:val="single" w:color="FAF6EC" w:sz="2" w:space="6"/>
          <w:bottom w:val="single" w:color="FAF6EC" w:sz="2" w:space="6"/>
          <w:left w:val="single" w:color="E8A33A" w:sz="18" w:space="10"/>
        </w:pBdr>
        <w:shd w:fill="FAF6EC" w:val="clear"/>
        <w:spacing w:after="160" w:before="120"/>
      </w:pPr>
      <w:r>
        <w:rPr>
          <w:rFonts w:ascii="Inter" w:cs="Inter" w:eastAsia="Inter" w:hAnsi="Inter"/>
          <w:b/>
          <w:bCs/>
          <w:color w:val="1F1B16"/>
          <w:sz w:val="19"/>
          <w:szCs w:val="19"/>
        </w:rPr>
        <w:t xml:space="preserve">How to read the money sections.</w:t>
      </w:r>
      <w:r>
        <w:rPr>
          <w:rFonts w:ascii="Inter" w:cs="Inter" w:eastAsia="Inter" w:hAnsi="Inter"/>
          <w:color w:val="1F1B16"/>
          <w:sz w:val="19"/>
          <w:szCs w:val="19"/>
        </w:rPr>
        <w:t xml:space="preserve"> All prices, costs and margins are </w:t>
      </w:r>
      <w:r>
        <w:rPr>
          <w:rFonts w:ascii="Inter" w:cs="Inter" w:eastAsia="Inter" w:hAnsi="Inter"/>
          <w:b/>
          <w:bCs/>
          <w:color w:val="1F1B16"/>
          <w:sz w:val="19"/>
          <w:szCs w:val="19"/>
        </w:rPr>
        <w:t xml:space="preserve">indicative planning figures</w:t>
      </w:r>
      <w:r>
        <w:rPr>
          <w:rFonts w:ascii="Inter" w:cs="Inter" w:eastAsia="Inter" w:hAnsi="Inter"/>
          <w:color w:val="1F1B16"/>
          <w:sz w:val="19"/>
          <w:szCs w:val="19"/>
        </w:rPr>
        <w:t xml:space="preserve"> in the stated local currency, based on typical recent ranges. Input costs and farm-gate prices change constantly and differ by district, season and season-to-season weather. </w:t>
      </w:r>
      <w:r>
        <w:rPr>
          <w:rFonts w:ascii="Inter" w:cs="Inter" w:eastAsia="Inter" w:hAnsi="Inter"/>
          <w:b/>
          <w:bCs/>
          <w:color w:val="1F1B16"/>
          <w:sz w:val="19"/>
          <w:szCs w:val="19"/>
        </w:rPr>
        <w:t xml:space="preserve">Replace every figure with current local market data before you invest.</w:t>
      </w:r>
      <w:r>
        <w:rPr>
          <w:rFonts w:ascii="Inter" w:cs="Inter" w:eastAsia="Inter" w:hAnsi="Inter"/>
          <w:color w:val="1F1B16"/>
          <w:sz w:val="19"/>
          <w:szCs w:val="19"/>
        </w:rPr>
        <w:t xml:space="preserve"> Yield figures assume good agronomy, clean/certified planting material and the recommended variety; your result will vary with weather, soil and management. This is general educational information, not site-specific agronomic or financial advice — confirm with your national research and extension service (KALRO, TARI, NARO, RAB, ISABU, MAFS, EIAR) and a qualified agronomist before committing land or money.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2240" w:h="15840" w:orient="portrait"/>
      <w:pgMar w:top="1180" w:right="1440" w:bottom="1180" w:left="1440" w:header="708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F6F3D" w:sz="6" w:space="6"/>
      </w:pBdr>
      <w:tabs>
        <w:tab w:val="right" w:pos="9360"/>
      </w:tabs>
    </w:pPr>
    <w:r>
      <w:rPr>
        <w:rFonts w:ascii="Inter" w:cs="Inter" w:eastAsia="Inter" w:hAnsi="Inter"/>
        <w:color w:val="8A8A8A"/>
        <w:sz w:val="15"/>
        <w:szCs w:val="15"/>
      </w:rPr>
      <w:t xml:space="preserve">Agriculture First. Africa Forward.  ·  kilimokwanza.org</w:t>
    </w:r>
    <w:r>
      <w:rPr>
        <w:rFonts w:ascii="Inter" w:cs="Inter" w:eastAsia="Inter" w:hAnsi="Inter"/>
        <w:color w:val="8A8A8A"/>
        <w:sz w:val="15"/>
        <w:szCs w:val="15"/>
      </w:rPr>
      <w:t xml:space="preserve">	Page </w:t>
    </w:r>
    <w:r>
      <w:rPr>
        <w:rFonts w:ascii="Inter" w:cs="Inter" w:eastAsia="Inter" w:hAnsi="Inter"/>
        <w:color w:val="8A8A8A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Inter" w:cs="Inter" w:eastAsia="Inter" w:hAnsi="Inter"/>
        <w:color w:val="8A8A8A"/>
        <w:sz w:val="15"/>
        <w:szCs w:val="15"/>
      </w:rPr>
      <w:t xml:space="preserve"> of </w:t>
    </w:r>
    <w:r>
      <w:rPr>
        <w:rFonts w:ascii="Inter" w:cs="Inter" w:eastAsia="Inter" w:hAnsi="Inter"/>
        <w:color w:val="8A8A8A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Inter" w:cs="Inter" w:eastAsia="Inter" w:hAnsi="Inter"/>
        <w:color w:val="9A9A9A"/>
        <w:sz w:val="15"/>
        <w:szCs w:val="15"/>
      </w:rPr>
      <w:t xml:space="preserve">kilimokwanza.org  ·  Agriculture First. Africa Forward.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F6F3D" w:sz="6" w:space="6"/>
      </w:pBdr>
      <w:tabs>
        <w:tab w:val="right" w:pos="9360"/>
      </w:tabs>
    </w:pPr>
    <w:r>
      <w:drawing>
        <wp:inline distT="0" distB="0" distL="0" distR="0">
          <wp:extent cx="1790700" cy="2952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295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Inter" w:cs="Inter" w:eastAsia="Inter" w:hAnsi="Inter"/>
        <w:b/>
        <w:bCs/>
        <w:color w:val="C8861E"/>
        <w:sz w:val="15"/>
        <w:szCs w:val="15"/>
      </w:rPr>
      <w:t xml:space="preserve">	HASS AVOCADO FARMING IN EAST AFRICA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20" w:hanging="280"/>
      </w:pPr>
      <w:rPr>
        <w:b/>
        <w:bCs/>
        <w:color w:val="1F6F3D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40"/>
      </w:pPr>
      <w:rPr>
        <w:color w:val="E8A33A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F1B16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90" w:before="240"/>
      <w:outlineLvl w:val="0"/>
    </w:pPr>
    <w:rPr>
      <w:rFonts w:ascii="Inter" w:cs="Inter" w:eastAsia="Inter" w:hAnsi="Inter"/>
      <w:b/>
      <w:bCs/>
      <w:color w:val="1F6F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70" w:before="160"/>
      <w:outlineLvl w:val="1"/>
    </w:pPr>
    <w:rPr>
      <w:rFonts w:ascii="Inter" w:cs="Inter" w:eastAsia="Inter" w:hAnsi="Inter"/>
      <w:b/>
      <w:bCs/>
      <w:color w:val="164E2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b0f89071b660d48071cafcd5f37857f7f606d05b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366c9a605509f43cb0e2b8a629abd57e7f19d0f.png"/></Relationships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Hass Avocado Farming in East Africa — Value-Chain &amp; Profit Guide</dc:title>
  <dc:creator>AppsValle for Kilimokwanza.org</dc:creator>
  <cp:lastModifiedBy>Un-named</cp:lastModifiedBy>
  <cp:revision>1</cp:revision>
  <dcterms:created xsi:type="dcterms:W3CDTF">2026-06-08T10:20:23.755Z</dcterms:created>
  <dcterms:modified xsi:type="dcterms:W3CDTF">2026-06-08T10:20:23.755Z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