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drawing>
          <wp:inline distT="0" distB="0" distL="0" distR="0">
            <wp:extent cx="5943600" cy="9715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20" w:before="60"/>
      </w:pPr>
      <w:r>
        <w:rPr>
          <w:rFonts w:ascii="Inter" w:cs="Inter" w:eastAsia="Inter" w:hAnsi="Inter"/>
          <w:b/>
          <w:bCs/>
          <w:i/>
          <w:iCs/>
          <w:color w:val="C8861E"/>
          <w:sz w:val="20"/>
          <w:szCs w:val="20"/>
        </w:rPr>
        <w:t xml:space="preserve">Agriculture First. Africa Forward.</w:t>
      </w:r>
    </w:p>
    <w:p>
      <w:pPr>
        <w:spacing w:after="40" w:before="200"/>
      </w:pPr>
      <w:r>
        <w:rPr>
          <w:rFonts w:ascii="Inter" w:cs="Inter" w:eastAsia="Inter" w:hAnsi="Inter"/>
          <w:b/>
          <w:bCs/>
          <w:color w:val="164E2A"/>
          <w:sz w:val="46"/>
          <w:szCs w:val="46"/>
        </w:rPr>
        <w:t xml:space="preserve">Black Pepper Farming in East Africa</w:t>
      </w:r>
    </w:p>
    <w:p>
      <w:pPr>
        <w:spacing w:after="60"/>
      </w:pPr>
      <w:r>
        <w:rPr>
          <w:rFonts w:ascii="Inter" w:cs="Inter" w:eastAsia="Inter" w:hAnsi="Inter"/>
          <w:color w:val="1F6F3D"/>
          <w:sz w:val="26"/>
          <w:szCs w:val="26"/>
        </w:rPr>
        <w:t xml:space="preserve">The Complete Deep-Dive Value-Chain &amp; Profit Guide</w:t>
      </w:r>
    </w:p>
    <w:p>
      <w:pPr>
        <w:pBdr>
          <w:bottom w:val="single" w:color="E8A33A" w:sz="18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spacing w:after="200"/>
      </w:pPr>
      <w:r>
        <w:rPr>
          <w:rFonts w:ascii="Inter" w:cs="Inter" w:eastAsia="Inter" w:hAnsi="Inter"/>
          <w:color w:val="1F1B16"/>
          <w:sz w:val="22"/>
          <w:szCs w:val="22"/>
        </w:rPr>
        <w:t xml:space="preserve">Uganda · Tanzania · Kenya</w:t>
      </w:r>
    </w:p>
    <w:p>
      <w:pPr>
        <w:spacing w:after="0" w:before="80"/>
      </w:pPr>
      <w:r>
        <w:rPr>
          <w:rFonts w:ascii="Inter" w:cs="Inter" w:eastAsia="Inter" w:hAnsi="Inter"/>
          <w:b/>
          <w:bCs/>
          <w:color w:val="1F6F3D"/>
          <w:sz w:val="20"/>
          <w:szCs w:val="20"/>
        </w:rPr>
        <w:t xml:space="preserve">East Africa Crop Value-Chain Series</w:t>
      </w:r>
    </w:p>
    <w:p>
      <w:pPr>
        <w:spacing w:after="0"/>
      </w:pPr>
      <w:r>
        <w:rPr>
          <w:rFonts w:ascii="Inter" w:cs="Inter" w:eastAsia="Inter" w:hAnsi="Inter"/>
          <w:color w:val="6B6B6B"/>
          <w:sz w:val="18"/>
          <w:szCs w:val="18"/>
        </w:rPr>
        <w:t xml:space="preserve">Research by AppsValle for Kilimokwanza.org</w:t>
      </w:r>
    </w:p>
    <w:p>
      <w:pPr>
        <w:spacing w:after="0" w:before="40"/>
      </w:pPr>
      <w:r>
        <w:rPr>
          <w:rFonts w:ascii="Inter" w:cs="Inter" w:eastAsia="Inter" w:hAnsi="Inter"/>
          <w:b/>
          <w:bCs/>
          <w:color w:val="C8861E"/>
          <w:sz w:val="17"/>
          <w:szCs w:val="17"/>
        </w:rPr>
        <w:t xml:space="preserve">2026 Edition  ·  Version 1.0</w:t>
      </w:r>
    </w:p>
    <w:p>
      <w:r>
        <w:br w:type="page"/>
      </w:r>
    </w:p>
    <w:p>
      <w:pPr>
        <w:spacing w:after="90" w:before="240"/>
      </w:pPr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Contents</w:t>
      </w:r>
    </w:p>
    <w:p>
      <w:pPr>
        <w:pBdr>
          <w:bottom w:val="single" w:color="E8A33A" w:sz="10" w:space="1"/>
        </w:pBdr>
        <w:spacing w:after="160" w:before="0"/>
      </w:pPr>
      <w:r>
        <w:rPr>
          <w:sz w:val="2"/>
          <w:szCs w:val="2"/>
        </w:rPr>
        <w:t xml:space="preserve"/>
      </w:r>
    </w:p>
    <w:p>
      <w:pPr>
        <w:spacing w:after="30"/>
        <w:ind w:left="120"/>
      </w:pPr>
      <w:hyperlink w:history="1" w:anchor="sec0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1. The opportunity — the "king of spices" on a vine</w:t>
        </w:r>
      </w:hyperlink>
    </w:p>
    <w:p>
      <w:pPr>
        <w:spacing w:after="30"/>
        <w:ind w:left="120"/>
      </w:pPr>
      <w:hyperlink w:history="1" w:anchor="sec1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2. Is black pepper right for you?</w:t>
        </w:r>
      </w:hyperlink>
    </w:p>
    <w:p>
      <w:pPr>
        <w:spacing w:after="30"/>
        <w:ind w:left="120"/>
      </w:pPr>
      <w:hyperlink w:history="1" w:anchor="sec2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3. Agro-ecological requirements</w:t>
        </w:r>
      </w:hyperlink>
    </w:p>
    <w:p>
      <w:pPr>
        <w:spacing w:after="30"/>
        <w:ind w:left="120"/>
      </w:pPr>
      <w:hyperlink w:history="1" w:anchor="sec3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4. Choosing planting material &amp; supports</w:t>
        </w:r>
      </w:hyperlink>
    </w:p>
    <w:p>
      <w:pPr>
        <w:spacing w:after="30"/>
        <w:ind w:left="120"/>
      </w:pPr>
      <w:hyperlink w:history="1" w:anchor="sec4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5. The establishment-to-bearing calendar</w:t>
        </w:r>
      </w:hyperlink>
    </w:p>
    <w:p>
      <w:pPr>
        <w:spacing w:after="30"/>
        <w:ind w:left="120"/>
      </w:pPr>
      <w:hyperlink w:history="1" w:anchor="sec5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6. Land preparation, planting &amp; training</w:t>
        </w:r>
      </w:hyperlink>
    </w:p>
    <w:p>
      <w:pPr>
        <w:spacing w:after="30"/>
        <w:ind w:left="120"/>
      </w:pPr>
      <w:hyperlink w:history="1" w:anchor="sec6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7. The nutrition programme</w:t>
        </w:r>
      </w:hyperlink>
    </w:p>
    <w:p>
      <w:pPr>
        <w:spacing w:after="30"/>
        <w:ind w:left="120"/>
      </w:pPr>
      <w:hyperlink w:history="1" w:anchor="sec7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8. Water, shade &amp; mulch</w:t>
        </w:r>
      </w:hyperlink>
    </w:p>
    <w:p>
      <w:pPr>
        <w:spacing w:after="30"/>
        <w:ind w:left="120"/>
      </w:pPr>
      <w:hyperlink w:history="1" w:anchor="sec8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9. Pest &amp; disease management (foot rot is the killer)</w:t>
        </w:r>
      </w:hyperlink>
    </w:p>
    <w:p>
      <w:pPr>
        <w:spacing w:after="30"/>
        <w:ind w:left="120"/>
      </w:pPr>
      <w:hyperlink w:history="1" w:anchor="sec9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10. Harvesting &amp; processing (black vs white pepper)</w:t>
        </w:r>
      </w:hyperlink>
    </w:p>
    <w:p>
      <w:pPr>
        <w:spacing w:after="30"/>
        <w:ind w:left="120"/>
      </w:pPr>
      <w:hyperlink w:history="1" w:anchor="sec10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11. Markets, prices &amp; value addition</w:t>
        </w:r>
      </w:hyperlink>
    </w:p>
    <w:p>
      <w:pPr>
        <w:spacing w:after="30"/>
        <w:ind w:left="120"/>
      </w:pPr>
      <w:hyperlink w:history="1" w:anchor="sec11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12. The economics — the perennial vine investment</w:t>
        </w:r>
      </w:hyperlink>
    </w:p>
    <w:p>
      <w:pPr>
        <w:spacing w:after="30"/>
        <w:ind w:left="120"/>
      </w:pPr>
      <w:hyperlink w:history="1" w:anchor="sec12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13. Common mistakes that destroy black-pepper profit</w:t>
        </w:r>
      </w:hyperlink>
    </w:p>
    <w:p>
      <w:pPr>
        <w:spacing w:after="30"/>
        <w:ind w:left="120"/>
      </w:pPr>
      <w:hyperlink w:history="1" w:anchor="sec13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14. Risk management matrix</w:t>
        </w:r>
      </w:hyperlink>
    </w:p>
    <w:p>
      <w:pPr>
        <w:spacing w:after="30"/>
        <w:ind w:left="120"/>
      </w:pPr>
      <w:hyperlink w:history="1" w:anchor="sec14">
        <w:r>
          <w:rPr>
            <w:rFonts w:ascii="Inter" w:cs="Inter" w:eastAsia="Inter" w:hAnsi="Inter"/>
            <w:color w:val="164E2A"/>
            <w:sz w:val="21"/>
            <w:szCs w:val="21"/>
            <w:u w:val="single"/>
          </w:rPr>
          <w:t xml:space="preserve">15. Your action plan + FAQ</w:t>
        </w:r>
      </w:hyperlink>
    </w:p>
    <w:p>
      <w:r>
        <w:br w:type="page"/>
      </w:r>
    </w:p>
    <w:p>
      <w:pPr>
        <w:pStyle w:val="Heading1"/>
        <w:spacing w:after="90" w:before="240"/>
      </w:pPr>
      <w:bookmarkStart w:name="sec0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1. The opportunity — the "king of spices" on a vine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Black pepper is the world's most traded spice and a high-value perennial climbing vine well suited to East Africa's humid zones — Uganda, Tanzania (coast, Morogoro) and Kenya's coast. It is grown up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support trees (standards)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, begins bearing in about three years, and then yields for many years, producing a valuable,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storable, non-perishable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dried product with steady global demand. Unlike vanilla, pepper is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self-pollinating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(no hand pollination needed) and its processing is simpler (sun-drying), making it a more forgiving high-value spice for smallholders — while still offering strong per-kilogram returns and an import-substitution opportunity (the region imports pepper).</w:t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The defining risk is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foot rot / quick wilt (Phytophthora)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in waterlogged soil — drainage and clean material are everything — and the value levers are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good vine establishment on standards, drying quality, and selling graded black (or white) pepper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Country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Main zones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Note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Uganda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Central &amp; humid zones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Growing spice production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Tanzania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Coast, Morogoro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Humid-zone pepper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Kenya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Coast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Emerging</w:t>
            </w:r>
          </w:p>
        </w:tc>
      </w:tr>
    </w:tbl>
    <w:p>
      <w:pPr>
        <w:spacing w:after="120"/>
      </w:pPr>
      <w:r>
        <w:rPr>
          <w:sz w:val="2"/>
          <w:szCs w:val="2"/>
        </w:rPr>
        <w:t xml:space="preserve"/>
      </w:r>
    </w:p>
    <w:p>
      <w:pPr>
        <w:pStyle w:val="Heading1"/>
        <w:spacing w:after="90" w:before="240"/>
      </w:pPr>
      <w:bookmarkStart w:name="sec1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2. Is black pepper right for you?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Climate: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Hot, humid, high-rainfall (2,000 mm+), with shade?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Drainage: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Free-draining soil? Waterlogging means foot rot — the vine killer.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Supports: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Can you provide live support trees/standards for the vines to climb?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Patience: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~3 years to bear, then years of harvest — a perennial investment.</w:t>
      </w:r>
    </w:p>
    <w:p>
      <w:pPr>
        <w:pStyle w:val="Heading1"/>
        <w:spacing w:after="90" w:before="240"/>
      </w:pPr>
      <w:bookmarkStart w:name="sec2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3. Agro-ecological requirements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Factor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Requirement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Why it matters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Altitude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0–1,500 m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Warm humid lowland/mid zones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Temperature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20–30 °C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Tropical; frost-intolerant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Rainfall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2,000–3,000 mm; high humidity; short dry spell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Moisture + humidity drive growth; dry spell aids flowering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Soil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Humus-rich, </w:t>
            </w:r>
            <w:r>
              <w:rPr>
                <w:rFonts w:ascii="Inter" w:cs="Inter" w:eastAsia="Inter" w:hAnsi="Inter"/>
                <w:b/>
                <w:bCs/>
                <w:color w:val="1F1B16"/>
                <w:sz w:val="18"/>
                <w:szCs w:val="18"/>
              </w:rPr>
              <w:t xml:space="preserve">free-draining</w:t>
            </w: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 loam; shade; pH 5.5–6.5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Waterlogging → foot rot (quick wilt)</w:t>
            </w:r>
          </w:p>
        </w:tc>
      </w:tr>
    </w:tbl>
    <w:p>
      <w:pPr>
        <w:spacing w:after="120"/>
      </w:pPr>
      <w:r>
        <w:rPr>
          <w:sz w:val="2"/>
          <w:szCs w:val="2"/>
        </w:rPr>
        <w:t xml:space="preserve"/>
      </w:r>
    </w:p>
    <w:p>
      <w:pPr>
        <w:pStyle w:val="Heading1"/>
        <w:spacing w:after="90" w:before="240"/>
      </w:pPr>
      <w:bookmarkStart w:name="sec3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4. Choosing planting material &amp; supports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Pepper is grown from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vine cuttings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(runner/terminal shoots) of productive types (local and introduced varieties such as Panniyur lines). Plant each vine to climb a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live support tree (standard)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— e.g. </w:t>
      </w:r>
      <w:r>
        <w:rPr>
          <w:rFonts w:ascii="Inter" w:cs="Inter" w:eastAsia="Inter" w:hAnsi="Inter"/>
          <w:i/>
          <w:iCs/>
          <w:color w:val="1F1B16"/>
          <w:sz w:val="21"/>
          <w:szCs w:val="21"/>
        </w:rPr>
        <w:t xml:space="preserve">Gliricidia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, </w:t>
      </w:r>
      <w:r>
        <w:rPr>
          <w:rFonts w:ascii="Inter" w:cs="Inter" w:eastAsia="Inter" w:hAnsi="Inter"/>
          <w:i/>
          <w:iCs/>
          <w:color w:val="1F1B16"/>
          <w:sz w:val="21"/>
          <w:szCs w:val="21"/>
        </w:rPr>
        <w:t xml:space="preserve">Erythrina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— or a non-living post; live standards also provide shade. Use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healthy, disease-free cuttings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from vigorous mother vines — foot rot and viruses travel on infected material.</w:t>
      </w:r>
    </w:p>
    <w:p>
      <w:pPr>
        <w:pStyle w:val="Heading1"/>
        <w:spacing w:after="90" w:before="240"/>
      </w:pPr>
      <w:bookmarkStart w:name="sec4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5. The establishment-to-bearing calendar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Year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Stage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Key actions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0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Establishment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Plant cuttings at the base of standards; mulch; shade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1–2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Vine growth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Train and tie vines up the standard; feed; weed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~3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First bearing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First spikes/berries form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3+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Production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Annual flower→berry cycle; harvest and dry for years</w:t>
            </w:r>
          </w:p>
        </w:tc>
      </w:tr>
    </w:tbl>
    <w:p>
      <w:pPr>
        <w:spacing w:after="120"/>
      </w:pPr>
      <w:r>
        <w:rPr>
          <w:sz w:val="2"/>
          <w:szCs w:val="2"/>
        </w:rPr>
        <w:t xml:space="preserve"/>
      </w:r>
    </w:p>
    <w:p>
      <w:pPr>
        <w:pStyle w:val="Heading1"/>
        <w:spacing w:after="90" w:before="240"/>
      </w:pPr>
      <w:bookmarkStart w:name="sec5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6. Land preparation, planting &amp; training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Plant cuttings into humus-rich,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well-drained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soil (often on slight mounds to guarantee drainage) at the base of each standard;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mulch heavily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(pepper has surface roots).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Train and tie the vine up the standard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as it grows — proper training onto the support is essential for a productive, manageable vine. Spacing follows the standards (e.g. ~2.5–3 m).</w:t>
      </w:r>
    </w:p>
    <w:p>
      <w:pPr>
        <w:pStyle w:val="Heading1"/>
        <w:spacing w:after="90" w:before="240"/>
      </w:pPr>
      <w:bookmarkStart w:name="sec6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7. The nutrition programme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Pepper feeds heavily on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organic matter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— thick mulch, compost and leaf litter — supplemented by balanced NPK (with potassium and magnesium) adjusted to the vine's stage and analysis. Maintain a deep organic mulch over the shallow roots; the live standards and mulch sustain the humus-rich, moist conditions the vine needs. Avoid waterlogging at all costs.</w:t>
      </w:r>
    </w:p>
    <w:p>
      <w:pPr>
        <w:pStyle w:val="Heading1"/>
        <w:spacing w:after="90" w:before="240"/>
      </w:pPr>
      <w:bookmarkStart w:name="sec7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8. Water, shade &amp; mulch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Pepper wants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consistent moisture and high humidity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with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partial shade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(the standards provide it), and a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short dry spell to trigger flowering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. The non-negotiable counterpart: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excellent drainage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— standing water causes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foot rot / quick wilt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, the vine's main killer. Mulch conserves moisture and protects roots; manage shade for balance (too dense reduces yield, too open stresses the vine).</w:t>
      </w:r>
    </w:p>
    <w:p>
      <w:pPr>
        <w:pStyle w:val="Heading1"/>
        <w:spacing w:after="90" w:before="240"/>
      </w:pPr>
      <w:bookmarkStart w:name="sec8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9. Pest &amp; disease management (foot rot is the killer)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Problem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Type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Symptoms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Management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1F1B16"/>
                <w:sz w:val="18"/>
                <w:szCs w:val="18"/>
              </w:rPr>
              <w:t xml:space="preserve">Foot rot / quick wilt (Phytophthora)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Fungal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Sudden wilt, black collar/root rot, vine death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1F1B16"/>
                <w:sz w:val="18"/>
                <w:szCs w:val="18"/>
              </w:rPr>
              <w:t xml:space="preserve">Drainage, mounds, clean cuttings, sanitation, copper/biocontrol</w:t>
            </w: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 — the decisive disease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Slow decline / nematodes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Pest/disease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Gradual yellowing, decline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Clean material, organic matter, nematode management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Pollu beetle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Pest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Bored/hollow berries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Monitoring, sanitation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Scale insects, mealybugs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Pests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Sap-feeding, sooty mould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Monitor, control, ant management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Leaf/spike anthracnose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Fungal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Leaf/spike lesions, spike shedding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Airflow, sanitation, fungicide</w:t>
            </w:r>
          </w:p>
        </w:tc>
      </w:tr>
    </w:tbl>
    <w:p>
      <w:pPr>
        <w:spacing w:after="12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Everything points back to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drainage and clean material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— foot rot in wet soil is the classic cause of pepper failure.</w:t>
      </w:r>
    </w:p>
    <w:p>
      <w:pPr>
        <w:pStyle w:val="Heading1"/>
        <w:spacing w:after="90" w:before="240"/>
      </w:pPr>
      <w:bookmarkStart w:name="sec9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10. Harvesting &amp; processing (black vs white pepper)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Berries are borne on spikes and harvested by maturity stage for the product: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Black pepper: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pick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mature green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berries (when one or two berries on a spike start to turn) and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sun-dry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them — the skin blackens and wrinkles, giving black pepper. Simple and the main product.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White pepper: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pick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fully ripe (red)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berries, soak/ret to remove the skin, then dry the pale inner corn — higher value, more work.</w:t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Dry to crisp, low moisture on clean surfaces (raised racks/tarpaulins, not bare ground), then grade by size/density. Pepper is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non-perishable once dried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and stores/transports well — a key advantage over fresh crops.</w:t>
      </w:r>
    </w:p>
    <w:p>
      <w:pPr>
        <w:pStyle w:val="Heading1"/>
        <w:spacing w:after="90" w:before="240"/>
      </w:pPr>
      <w:bookmarkStart w:name="sec10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11. Markets, prices &amp; value addition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Channel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Wants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Notes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Dried black pepper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Clean, well-dried, graded peppercorns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The main market; storable, exportable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White pepper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Processed pale corns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Higher value, more processing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Powder/ground/oil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Quality dried pepper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Value-added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Import substitution / export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Graded pepper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Region imports pepper; export demand</w:t>
            </w:r>
          </w:p>
        </w:tc>
      </w:tr>
    </w:tbl>
    <w:p>
      <w:pPr>
        <w:spacing w:after="12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Pepper's storability and steady global demand make it a strong high-value crop; value addition (white pepper, grading, powder, pepper oil) and import substitution add upside. Aggregate via cooperatives to reach spice buyers/exporters and meet volume/quality.</w:t>
      </w:r>
    </w:p>
    <w:p>
      <w:pPr>
        <w:pStyle w:val="Heading1"/>
        <w:spacing w:after="90" w:before="240"/>
      </w:pPr>
      <w:bookmarkStart w:name="sec11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12. The economics — the perennial vine investment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i/>
          <w:iCs/>
          <w:color w:val="1F1B16"/>
          <w:sz w:val="21"/>
          <w:szCs w:val="21"/>
        </w:rPr>
        <w:t xml:space="preserve">Indicative, per acre, mature. Update with current local prices.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Item (indicative)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Establishment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Mature year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Cuttings + standards (support trees)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high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Land prep, mounds, heavy mulch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high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moderate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Fertiliser/organic matter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low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moderate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Crop protection (foot rot)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low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moderate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Labour (training, harvest, drying)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moderate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high</w:t>
            </w:r>
          </w:p>
        </w:tc>
      </w:tr>
      <w:tr>
        <w:trPr>
          <w:tblHeader w:val="false"/>
        </w:trPr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1F1B16"/>
                <w:sz w:val="18"/>
                <w:szCs w:val="18"/>
              </w:rPr>
              <w:t xml:space="preserve">Cost pattern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establishment outflow</w:t>
            </w:r>
          </w:p>
        </w:tc>
        <w:tc>
          <w:tcPr>
            <w:tcW w:type="dxa" w:w="312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labour + processing</w:t>
            </w:r>
          </w:p>
        </w:tc>
      </w:tr>
    </w:tbl>
    <w:p>
      <w:pPr>
        <w:spacing w:after="120"/>
      </w:pPr>
      <w:r>
        <w:rPr>
          <w:sz w:val="2"/>
          <w:szCs w:val="2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Scenario (mature)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Dried yield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Product/price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Margin pattern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Worst (foot rot, poor drying)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low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low/loss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loss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Base (good mgmt, black pepper)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mid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export grade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strong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Best (high yield + white pepper/value-add)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high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premium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very strong</w:t>
            </w:r>
          </w:p>
        </w:tc>
      </w:tr>
    </w:tbl>
    <w:p>
      <w:pPr>
        <w:spacing w:after="120"/>
      </w:pPr>
      <w:r>
        <w:rPr>
          <w:sz w:val="2"/>
          <w:szCs w:val="2"/>
        </w:rPr>
        <w:t xml:space="preserve"/>
      </w:r>
    </w:p>
    <w:p>
      <w:pPr>
        <w:spacing w:after="12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A high-value perennial vine: outflow during establishment, then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years of valuable, storable harvest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— strong returns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if foot rot is kept out and drying is good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.</w:t>
      </w:r>
    </w:p>
    <w:p>
      <w:pPr>
        <w:pStyle w:val="Heading1"/>
        <w:spacing w:after="90" w:before="240"/>
      </w:pPr>
      <w:bookmarkStart w:name="sec12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13. Common mistakes that destroy black-pepper profit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Waterlogged/poorly drained soil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→ foot rot kills vines.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Infected cuttings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→ carry foot rot/viruses into the field.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Poor training onto standards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→ tangled, low-yielding vines.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Drying on bare ground / poor drying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→ low grade, contamination.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Selling raw/poorly graded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when graded black/white pepper pays more.</w:t>
      </w:r>
    </w:p>
    <w:p>
      <w:pPr>
        <w:pStyle w:val="Heading1"/>
        <w:spacing w:after="90" w:before="240"/>
      </w:pPr>
      <w:bookmarkStart w:name="sec13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14. Risk management matrix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Risk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Likelihood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Impact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1F6F3D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b/>
                <w:bCs/>
                <w:color w:val="FFFFFF"/>
                <w:sz w:val="18"/>
                <w:szCs w:val="18"/>
              </w:rPr>
              <w:t xml:space="preserve">Mitigation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Foot rot / quick wilt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High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Very high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Drainage, mounds, clean cuttings, sanitation, copper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Slow decline/nematodes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Medium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Medium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Clean material, organic matter, nematode management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Poor drying/grade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Medium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Medium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Raised-rack drying; grade well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Long establishment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Certain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Medium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AF6EC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Intercrop/shade crops early</w:t>
            </w:r>
          </w:p>
        </w:tc>
      </w:tr>
      <w:tr>
        <w:trPr>
          <w:tblHeader w:val="false"/>
        </w:trPr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Price/market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Medium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Medium</w:t>
            </w:r>
          </w:p>
        </w:tc>
        <w:tc>
          <w:tcPr>
            <w:tcW w:type="dxa" w:w="2340"/>
            <w:tcBorders>
              <w:top w:val="single" w:color="D8D2C4" w:sz="1"/>
              <w:left w:val="single" w:color="D8D2C4" w:sz="1"/>
              <w:bottom w:val="single" w:color="D8D2C4" w:sz="1"/>
              <w:right w:val="single" w:color="D8D2C4" w:sz="1"/>
            </w:tcBorders>
            <w:shd w:fill="FFFFFF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/>
            </w:pPr>
            <w:r>
              <w:rPr>
                <w:rFonts w:ascii="Inter" w:cs="Inter" w:eastAsia="Inter" w:hAnsi="Inter"/>
                <w:color w:val="1F1B16"/>
                <w:sz w:val="18"/>
                <w:szCs w:val="18"/>
              </w:rPr>
              <w:t xml:space="preserve">Storable product; white-pepper/value-add; aggregate</w:t>
            </w:r>
          </w:p>
        </w:tc>
      </w:tr>
    </w:tbl>
    <w:p>
      <w:pPr>
        <w:spacing w:after="120"/>
      </w:pPr>
      <w:r>
        <w:rPr>
          <w:sz w:val="2"/>
          <w:szCs w:val="2"/>
        </w:rPr>
        <w:t xml:space="preserve"/>
      </w:r>
    </w:p>
    <w:p>
      <w:pPr>
        <w:pStyle w:val="Heading1"/>
        <w:spacing w:after="90" w:before="240"/>
      </w:pPr>
      <w:bookmarkStart w:name="sec14" w:id="1"/>
      <w:r>
        <w:rPr>
          <w:rFonts w:ascii="Inter" w:cs="Inter" w:eastAsia="Inter" w:hAnsi="Inter"/>
          <w:b/>
          <w:bCs/>
          <w:color w:val="1F6F3D"/>
          <w:sz w:val="28"/>
          <w:szCs w:val="28"/>
        </w:rPr>
        <w:t xml:space="preserve">15. Your action plan + FAQ</w:t>
      </w:r>
      <w:bookmarkEnd w:id="1"/>
    </w:p>
    <w:p>
      <w:pPr>
        <w:pBdr>
          <w:bottom w:val="single" w:color="E8A33A" w:sz="10" w:space="1"/>
        </w:pBdr>
        <w:spacing w:after="120" w:before="0"/>
      </w:pPr>
      <w:r>
        <w:rPr>
          <w:sz w:val="2"/>
          <w:szCs w:val="2"/>
        </w:rPr>
        <w:t xml:space="preserve"/>
      </w:r>
    </w:p>
    <w:p>
      <w:pPr>
        <w:pStyle w:val="ListParagraph"/>
        <w:numPr>
          <w:ilvl w:val="0"/>
          <w:numId w:val="3"/>
        </w:numPr>
        <w:spacing w:after="4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Choose a humid,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well-drained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site; plant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clean cuttings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at live support trees.</w:t>
      </w:r>
    </w:p>
    <w:p>
      <w:pPr>
        <w:pStyle w:val="ListParagraph"/>
        <w:numPr>
          <w:ilvl w:val="0"/>
          <w:numId w:val="3"/>
        </w:numPr>
        <w:spacing w:after="4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Plant on mounds;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mulch heavily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;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train vines up the standards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.</w:t>
      </w:r>
    </w:p>
    <w:p>
      <w:pPr>
        <w:pStyle w:val="ListParagraph"/>
        <w:numPr>
          <w:ilvl w:val="0"/>
          <w:numId w:val="3"/>
        </w:numPr>
        <w:spacing w:after="4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Feed organic matter + balanced NPK; never waterlog (foot rot).</w:t>
      </w:r>
    </w:p>
    <w:p>
      <w:pPr>
        <w:pStyle w:val="ListParagraph"/>
        <w:numPr>
          <w:ilvl w:val="0"/>
          <w:numId w:val="3"/>
        </w:numPr>
        <w:spacing w:after="4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Manage foot rot (drainage/sanitation/copper) and minor pests.</w:t>
      </w:r>
    </w:p>
    <w:p>
      <w:pPr>
        <w:pStyle w:val="ListParagraph"/>
        <w:numPr>
          <w:ilvl w:val="0"/>
          <w:numId w:val="3"/>
        </w:numPr>
        <w:spacing w:after="4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Harvest mature-green for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black pepper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(sun-dry) or ripe for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white pepper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; dry on raised racks; grade.</w:t>
      </w:r>
    </w:p>
    <w:p>
      <w:pPr>
        <w:pStyle w:val="ListParagraph"/>
        <w:numPr>
          <w:ilvl w:val="0"/>
          <w:numId w:val="3"/>
        </w:numPr>
        <w:spacing w:after="40"/>
      </w:pPr>
      <w:r>
        <w:rPr>
          <w:rFonts w:ascii="Inter" w:cs="Inter" w:eastAsia="Inter" w:hAnsi="Inter"/>
          <w:color w:val="1F1B16"/>
          <w:sz w:val="21"/>
          <w:szCs w:val="21"/>
        </w:rPr>
        <w:t xml:space="preserve">Sell graded dried pepper; pursue white-pepper/value-add; aggregate for export.</w:t>
      </w:r>
    </w:p>
    <w:p>
      <w:pPr>
        <w:spacing w:after="12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FAQ — Is black pepper like vanilla to grow?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It's a similar climbing perennial on support trees, but </w:t>
      </w: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easier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: it self-pollinates (no hand pollination) and drying is simpler (sun-dry green berries to black), making it more forgiving while still high-value.</w:t>
      </w:r>
    </w:p>
    <w:p>
      <w:pPr>
        <w:spacing w:after="12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FAQ — Why did my vines suddenly wilt and die?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Foot rot / quick wilt (Phytophthora) from waterlogged soil. Ensure drainage (plant on mounds), use clean cuttings, and sanitise.</w:t>
      </w:r>
    </w:p>
    <w:p>
      <w:pPr>
        <w:spacing w:after="12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FAQ — Black or white pepper?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Black is picked mature-green and simply sun-dried (the main product); white is picked ripe and de-skinned (higher value, more work).</w:t>
      </w:r>
    </w:p>
    <w:p>
      <w:pPr>
        <w:spacing w:after="12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FAQ — How soon does it pay?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First bearing around year 3, then years of harvest from the perennial vine; intercrop during establishment.</w:t>
      </w:r>
    </w:p>
    <w:p>
      <w:pPr>
        <w:spacing w:after="120"/>
      </w:pPr>
      <w:r>
        <w:rPr>
          <w:rFonts w:ascii="Inter" w:cs="Inter" w:eastAsia="Inter" w:hAnsi="Inter"/>
          <w:b/>
          <w:bCs/>
          <w:color w:val="1F1B16"/>
          <w:sz w:val="21"/>
          <w:szCs w:val="21"/>
        </w:rPr>
        <w:t xml:space="preserve">FAQ — Is there a market?</w:t>
      </w:r>
      <w:r>
        <w:rPr>
          <w:rFonts w:ascii="Inter" w:cs="Inter" w:eastAsia="Inter" w:hAnsi="Inter"/>
          <w:color w:val="1F1B16"/>
          <w:sz w:val="21"/>
          <w:szCs w:val="21"/>
        </w:rPr>
        <w:t xml:space="preserve"> Yes — pepper is the world's most-traded spice with steady demand, the region imports it (import substitution), and the dried product stores and transports well; grading and white-pepper/value-add lift returns.</w:t>
      </w:r>
    </w:p>
    <w:p>
      <w:pPr>
        <w:pBdr>
          <w:bottom w:val="single" w:color="D8D2C4" w:sz="8" w:space="1"/>
        </w:pBdr>
        <w:spacing w:after="120" w:before="60"/>
      </w:pPr>
      <w:r>
        <w:rPr>
          <w:sz w:val="2"/>
          <w:szCs w:val="2"/>
        </w:rPr>
        <w:t xml:space="preserve"/>
      </w:r>
    </w:p>
    <w:p>
      <w:pPr>
        <w:pStyle w:val="Heading2"/>
        <w:spacing w:after="70" w:before="160"/>
      </w:pPr>
      <w:r>
        <w:rPr>
          <w:rFonts w:ascii="Inter" w:cs="Inter" w:eastAsia="Inter" w:hAnsi="Inter"/>
          <w:b/>
          <w:bCs/>
          <w:color w:val="164E2A"/>
          <w:sz w:val="23"/>
          <w:szCs w:val="23"/>
        </w:rPr>
        <w:t xml:space="preserve">About this guide</w:t>
      </w:r>
    </w:p>
    <w:p>
      <w:pPr>
        <w:spacing w:after="120"/>
      </w:pPr>
      <w:r>
        <w:rPr>
          <w:rFonts w:ascii="Inter" w:cs="Inter" w:eastAsia="Inter" w:hAnsi="Inter"/>
          <w:i/>
          <w:iCs/>
          <w:color w:val="1F1B16"/>
          <w:sz w:val="21"/>
          <w:szCs w:val="21"/>
        </w:rPr>
        <w:t xml:space="preserve">Research by </w:t>
      </w:r>
      <w:r>
        <w:rPr>
          <w:rFonts w:ascii="Inter" w:cs="Inter" w:eastAsia="Inter" w:hAnsi="Inter"/>
          <w:i/>
          <w:iCs/>
          <w:color w:val="1F1B16"/>
          <w:sz w:val="21"/>
          <w:szCs w:val="21"/>
        </w:rPr>
        <w:t xml:space="preserve">AppsValle</w:t>
      </w:r>
      <w:r>
        <w:rPr>
          <w:rFonts w:ascii="Inter" w:cs="Inter" w:eastAsia="Inter" w:hAnsi="Inter"/>
          <w:i/>
          <w:iCs/>
          <w:color w:val="1F1B16"/>
          <w:sz w:val="21"/>
          <w:szCs w:val="21"/>
        </w:rPr>
        <w:t xml:space="preserve"> for </w:t>
      </w:r>
      <w:r>
        <w:rPr>
          <w:rFonts w:ascii="Inter" w:cs="Inter" w:eastAsia="Inter" w:hAnsi="Inter"/>
          <w:i/>
          <w:iCs/>
          <w:color w:val="1F1B16"/>
          <w:sz w:val="21"/>
          <w:szCs w:val="21"/>
        </w:rPr>
        <w:t xml:space="preserve">Kilimokwanza.org</w:t>
      </w:r>
      <w:r>
        <w:rPr>
          <w:rFonts w:ascii="Inter" w:cs="Inter" w:eastAsia="Inter" w:hAnsi="Inter"/>
          <w:i/>
          <w:iCs/>
          <w:color w:val="1F1B16"/>
          <w:sz w:val="21"/>
          <w:szCs w:val="21"/>
        </w:rPr>
        <w:t xml:space="preserve"> — East Africa Crop Value-Chain Series (deep edition). An original AppsValle research compilation. Visit www.kilimokwanza.org.</w:t>
      </w:r>
    </w:p>
    <w:p>
      <w:pPr>
        <w:pBdr>
          <w:top w:val="single" w:color="FAF6EC" w:sz="2" w:space="6"/>
          <w:bottom w:val="single" w:color="FAF6EC" w:sz="2" w:space="6"/>
          <w:left w:val="single" w:color="E8A33A" w:sz="18" w:space="10"/>
        </w:pBdr>
        <w:shd w:fill="FAF6EC" w:val="clear"/>
        <w:spacing w:after="160" w:before="120"/>
      </w:pPr>
      <w:r>
        <w:rPr>
          <w:rFonts w:ascii="Inter" w:cs="Inter" w:eastAsia="Inter" w:hAnsi="Inter"/>
          <w:b/>
          <w:bCs/>
          <w:color w:val="1F1B16"/>
          <w:sz w:val="19"/>
          <w:szCs w:val="19"/>
        </w:rPr>
        <w:t xml:space="preserve">How to read the money sections.</w:t>
      </w:r>
      <w:r>
        <w:rPr>
          <w:rFonts w:ascii="Inter" w:cs="Inter" w:eastAsia="Inter" w:hAnsi="Inter"/>
          <w:color w:val="1F1B16"/>
          <w:sz w:val="19"/>
          <w:szCs w:val="19"/>
        </w:rPr>
        <w:t xml:space="preserve"> All prices, costs and margins are </w:t>
      </w:r>
      <w:r>
        <w:rPr>
          <w:rFonts w:ascii="Inter" w:cs="Inter" w:eastAsia="Inter" w:hAnsi="Inter"/>
          <w:b/>
          <w:bCs/>
          <w:color w:val="1F1B16"/>
          <w:sz w:val="19"/>
          <w:szCs w:val="19"/>
        </w:rPr>
        <w:t xml:space="preserve">indicative planning figures</w:t>
      </w:r>
      <w:r>
        <w:rPr>
          <w:rFonts w:ascii="Inter" w:cs="Inter" w:eastAsia="Inter" w:hAnsi="Inter"/>
          <w:color w:val="1F1B16"/>
          <w:sz w:val="19"/>
          <w:szCs w:val="19"/>
        </w:rPr>
        <w:t xml:space="preserve"> in the stated local currency, based on typical recent ranges. Input costs and farm-gate prices change constantly and differ by district, season and season-to-season weather. </w:t>
      </w:r>
      <w:r>
        <w:rPr>
          <w:rFonts w:ascii="Inter" w:cs="Inter" w:eastAsia="Inter" w:hAnsi="Inter"/>
          <w:b/>
          <w:bCs/>
          <w:color w:val="1F1B16"/>
          <w:sz w:val="19"/>
          <w:szCs w:val="19"/>
        </w:rPr>
        <w:t xml:space="preserve">Replace every figure with current local market data before you invest.</w:t>
      </w:r>
      <w:r>
        <w:rPr>
          <w:rFonts w:ascii="Inter" w:cs="Inter" w:eastAsia="Inter" w:hAnsi="Inter"/>
          <w:color w:val="1F1B16"/>
          <w:sz w:val="19"/>
          <w:szCs w:val="19"/>
        </w:rPr>
        <w:t xml:space="preserve"> Yield figures assume good agronomy, clean/certified planting material and the recommended variety; your result will vary with weather, soil and management. This is general educational information, not site-specific agronomic or financial advice — confirm with your national research and extension service (KALRO, TARI, NARO, RAB, ISABU, MAFS, EIAR) and a qualified agronomist before committing land or money.</w:t>
      </w:r>
    </w:p>
    <w:sectPr>
      <w:headerReference w:type="default" r:id="rId7"/>
      <w:headerReference w:type="first" r:id="rId8"/>
      <w:footerReference w:type="default" r:id="rId9"/>
      <w:footerReference w:type="first" r:id="rId10"/>
      <w:pgSz w:w="12240" w:h="15840" w:orient="portrait"/>
      <w:pgMar w:top="1180" w:right="1440" w:bottom="1180" w:left="1440" w:header="708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1F6F3D" w:sz="6" w:space="6"/>
      </w:pBdr>
      <w:tabs>
        <w:tab w:val="right" w:pos="9360"/>
      </w:tabs>
    </w:pPr>
    <w:r>
      <w:rPr>
        <w:rFonts w:ascii="Inter" w:cs="Inter" w:eastAsia="Inter" w:hAnsi="Inter"/>
        <w:color w:val="8A8A8A"/>
        <w:sz w:val="15"/>
        <w:szCs w:val="15"/>
      </w:rPr>
      <w:t xml:space="preserve">Agriculture First. Africa Forward.  ·  kilimokwanza.org</w:t>
    </w:r>
    <w:r>
      <w:rPr>
        <w:rFonts w:ascii="Inter" w:cs="Inter" w:eastAsia="Inter" w:hAnsi="Inter"/>
        <w:color w:val="8A8A8A"/>
        <w:sz w:val="15"/>
        <w:szCs w:val="15"/>
      </w:rPr>
      <w:t xml:space="preserve">	Page </w:t>
    </w:r>
    <w:r>
      <w:rPr>
        <w:rFonts w:ascii="Inter" w:cs="Inter" w:eastAsia="Inter" w:hAnsi="Inter"/>
        <w:color w:val="8A8A8A"/>
        <w:sz w:val="15"/>
        <w:szCs w:val="15"/>
      </w:rPr>
      <w:fldChar w:fldCharType="begin"/>
      <w:instrText xml:space="preserve">PAGE</w:instrText>
      <w:fldChar w:fldCharType="separate"/>
      <w:fldChar w:fldCharType="end"/>
    </w:r>
    <w:r>
      <w:rPr>
        <w:rFonts w:ascii="Inter" w:cs="Inter" w:eastAsia="Inter" w:hAnsi="Inter"/>
        <w:color w:val="8A8A8A"/>
        <w:sz w:val="15"/>
        <w:szCs w:val="15"/>
      </w:rPr>
      <w:t xml:space="preserve"> of </w:t>
    </w:r>
    <w:r>
      <w:rPr>
        <w:rFonts w:ascii="Inter" w:cs="Inter" w:eastAsia="Inter" w:hAnsi="Inter"/>
        <w:color w:val="8A8A8A"/>
        <w:sz w:val="15"/>
        <w:szCs w:val="15"/>
      </w:rPr>
      <w:fldChar w:fldCharType="begin"/>
      <w:instrText xml:space="preserve">NUMPAGES</w:instrText>
      <w:fldChar w:fldCharType="separate"/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Inter" w:cs="Inter" w:eastAsia="Inter" w:hAnsi="Inter"/>
        <w:color w:val="9A9A9A"/>
        <w:sz w:val="15"/>
        <w:szCs w:val="15"/>
      </w:rPr>
      <w:t xml:space="preserve">kilimokwanza.org  ·  Agriculture First. Africa Forward.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1F6F3D" w:sz="6" w:space="6"/>
      </w:pBdr>
      <w:tabs>
        <w:tab w:val="right" w:pos="9360"/>
      </w:tabs>
    </w:pPr>
    <w:r>
      <w:drawing>
        <wp:inline distT="0" distB="0" distL="0" distR="0">
          <wp:extent cx="1790700" cy="29527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295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Inter" w:cs="Inter" w:eastAsia="Inter" w:hAnsi="Inter"/>
        <w:b/>
        <w:bCs/>
        <w:color w:val="C8861E"/>
        <w:sz w:val="15"/>
        <w:szCs w:val="15"/>
      </w:rPr>
      <w:t xml:space="preserve">	BLACK PEPPER FARMING IN EAST AFRICA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r>
      <w:rPr>
        <w:sz w:val="2"/>
        <w:szCs w:val="2"/>
      </w:rPr>
      <w:t xml:space="preserv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520" w:hanging="280"/>
      </w:pPr>
      <w:rPr>
        <w:b/>
        <w:bCs/>
        <w:color w:val="1F6F3D"/>
      </w:r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60" w:hanging="240"/>
      </w:pPr>
      <w:rPr>
        <w:color w:val="E8A33A"/>
      </w:r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color w:val="1F1B16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90" w:before="240"/>
      <w:outlineLvl w:val="0"/>
    </w:pPr>
    <w:rPr>
      <w:rFonts w:ascii="Inter" w:cs="Inter" w:eastAsia="Inter" w:hAnsi="Inter"/>
      <w:b/>
      <w:bCs/>
      <w:color w:val="1F6F3D"/>
      <w:sz w:val="28"/>
      <w:szCs w:val="28"/>
    </w:rPr>
  </w:style>
  <w:style w:type="paragraph" w:styleId="Heading2">
    <w:name w:val="Heading 2"/>
    <w:basedOn w:val="Normal"/>
    <w:next w:val="Normal"/>
    <w:qFormat/>
    <w:pPr>
      <w:spacing w:after="70" w:before="160"/>
      <w:outlineLvl w:val="1"/>
    </w:pPr>
    <w:rPr>
      <w:rFonts w:ascii="Inter" w:cs="Inter" w:eastAsia="Inter" w:hAnsi="Inter"/>
      <w:b/>
      <w:bCs/>
      <w:color w:val="164E2A"/>
      <w:sz w:val="23"/>
      <w:szCs w:val="23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b0f89071b660d48071cafcd5f37857f7f606d05b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4366c9a605509f43cb0e2b8a629abd57e7f19d0f.png"/></Relationships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 Pepper Farming in East Africa — Value-Chain &amp; Profit Guide</dc:title>
  <dc:creator>AppsValle for Kilimokwanza.org</dc:creator>
  <cp:lastModifiedBy>Un-named</cp:lastModifiedBy>
  <cp:revision>1</cp:revision>
  <dcterms:created xsi:type="dcterms:W3CDTF">2026-06-08T10:20:25.433Z</dcterms:created>
  <dcterms:modified xsi:type="dcterms:W3CDTF">2026-06-08T10:20:25.433Z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