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5943600" cy="971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43600" cy="971550"/>
                    </a:xfrm>
                    <a:prstGeom prst="rect">
                      <a:avLst/>
                    </a:prstGeom>
                  </pic:spPr>
                </pic:pic>
              </a:graphicData>
            </a:graphic>
          </wp:inline>
        </w:drawing>
      </w:r>
    </w:p>
    <w:p>
      <w:pPr>
        <w:spacing w:after="220" w:before="60"/>
      </w:pPr>
      <w:r>
        <w:rPr>
          <w:rFonts w:ascii="Inter" w:cs="Inter" w:eastAsia="Inter" w:hAnsi="Inter"/>
          <w:b/>
          <w:bCs/>
          <w:i/>
          <w:iCs/>
          <w:color w:val="C8861E"/>
          <w:sz w:val="20"/>
          <w:szCs w:val="20"/>
        </w:rPr>
        <w:t xml:space="preserve">Agriculture First. Africa Forward.</w:t>
      </w:r>
    </w:p>
    <w:p>
      <w:pPr>
        <w:spacing w:after="40" w:before="200"/>
      </w:pPr>
      <w:r>
        <w:rPr>
          <w:rFonts w:ascii="Inter" w:cs="Inter" w:eastAsia="Inter" w:hAnsi="Inter"/>
          <w:b/>
          <w:bCs/>
          <w:color w:val="164E2A"/>
          <w:sz w:val="46"/>
          <w:szCs w:val="46"/>
        </w:rPr>
        <w:t xml:space="preserve">Banana &amp; Matooke Farming in East Africa</w:t>
      </w:r>
    </w:p>
    <w:p>
      <w:pPr>
        <w:spacing w:after="60"/>
      </w:pPr>
      <w:r>
        <w:rPr>
          <w:rFonts w:ascii="Inter" w:cs="Inter" w:eastAsia="Inter" w:hAnsi="Inter"/>
          <w:color w:val="1F6F3D"/>
          <w:sz w:val="26"/>
          <w:szCs w:val="26"/>
        </w:rPr>
        <w:t xml:space="preserve">The Complete Deep-Dive Value-Chain &amp; Profit Guide</w:t>
      </w:r>
    </w:p>
    <w:p>
      <w:pPr>
        <w:pBdr>
          <w:bottom w:val="single" w:color="E8A33A" w:sz="18" w:space="1"/>
        </w:pBdr>
        <w:spacing w:after="120" w:before="0"/>
      </w:pPr>
      <w:r>
        <w:rPr>
          <w:sz w:val="2"/>
          <w:szCs w:val="2"/>
        </w:rPr>
        <w:t xml:space="preserve"/>
      </w:r>
    </w:p>
    <w:p>
      <w:pPr>
        <w:spacing w:after="200"/>
      </w:pPr>
      <w:r>
        <w:rPr>
          <w:rFonts w:ascii="Inter" w:cs="Inter" w:eastAsia="Inter" w:hAnsi="Inter"/>
          <w:color w:val="1F1B16"/>
          <w:sz w:val="22"/>
          <w:szCs w:val="22"/>
        </w:rPr>
        <w:t xml:space="preserve">Uganda · Tanzania · Rwanda</w:t>
      </w:r>
    </w:p>
    <w:p>
      <w:pPr>
        <w:spacing w:after="0" w:before="80"/>
      </w:pPr>
      <w:r>
        <w:rPr>
          <w:rFonts w:ascii="Inter" w:cs="Inter" w:eastAsia="Inter" w:hAnsi="Inter"/>
          <w:b/>
          <w:bCs/>
          <w:color w:val="1F6F3D"/>
          <w:sz w:val="20"/>
          <w:szCs w:val="20"/>
        </w:rPr>
        <w:t xml:space="preserve">East Africa Crop Value-Chain Series</w:t>
      </w:r>
    </w:p>
    <w:p>
      <w:pPr>
        <w:spacing w:after="0"/>
      </w:pPr>
      <w:r>
        <w:rPr>
          <w:rFonts w:ascii="Inter" w:cs="Inter" w:eastAsia="Inter" w:hAnsi="Inter"/>
          <w:color w:val="6B6B6B"/>
          <w:sz w:val="18"/>
          <w:szCs w:val="18"/>
        </w:rPr>
        <w:t xml:space="preserve">Research by AppsValle for Kilimokwanza.org</w:t>
      </w:r>
    </w:p>
    <w:p>
      <w:pPr>
        <w:spacing w:after="0" w:before="40"/>
      </w:pPr>
      <w:r>
        <w:rPr>
          <w:rFonts w:ascii="Inter" w:cs="Inter" w:eastAsia="Inter" w:hAnsi="Inter"/>
          <w:b/>
          <w:bCs/>
          <w:color w:val="C8861E"/>
          <w:sz w:val="17"/>
          <w:szCs w:val="17"/>
        </w:rPr>
        <w:t xml:space="preserve">2026 Edition  ·  Version 1.0</w:t>
      </w:r>
    </w:p>
    <w:p>
      <w:r>
        <w:br w:type="page"/>
      </w:r>
    </w:p>
    <w:p>
      <w:pPr>
        <w:spacing w:after="90" w:before="240"/>
      </w:pPr>
      <w:r>
        <w:rPr>
          <w:rFonts w:ascii="Inter" w:cs="Inter" w:eastAsia="Inter" w:hAnsi="Inter"/>
          <w:b/>
          <w:bCs/>
          <w:color w:val="1F6F3D"/>
          <w:sz w:val="28"/>
          <w:szCs w:val="28"/>
        </w:rPr>
        <w:t xml:space="preserve">Contents</w:t>
      </w:r>
    </w:p>
    <w:p>
      <w:pPr>
        <w:pBdr>
          <w:bottom w:val="single" w:color="E8A33A" w:sz="10" w:space="1"/>
        </w:pBdr>
        <w:spacing w:after="160" w:before="0"/>
      </w:pPr>
      <w:r>
        <w:rPr>
          <w:sz w:val="2"/>
          <w:szCs w:val="2"/>
        </w:rPr>
        <w:t xml:space="preserve"/>
      </w:r>
    </w:p>
    <w:p>
      <w:pPr>
        <w:spacing w:after="30"/>
        <w:ind w:left="120"/>
      </w:pPr>
      <w:hyperlink w:history="1" w:anchor="sec0">
        <w:r>
          <w:rPr>
            <w:rFonts w:ascii="Inter" w:cs="Inter" w:eastAsia="Inter" w:hAnsi="Inter"/>
            <w:color w:val="164E2A"/>
            <w:sz w:val="21"/>
            <w:szCs w:val="21"/>
            <w:u w:val="single"/>
          </w:rPr>
          <w:t xml:space="preserve">1. The opportunity — staple and steady income</w:t>
        </w:r>
      </w:hyperlink>
    </w:p>
    <w:p>
      <w:pPr>
        <w:spacing w:after="30"/>
        <w:ind w:left="120"/>
      </w:pPr>
      <w:hyperlink w:history="1" w:anchor="sec1">
        <w:r>
          <w:rPr>
            <w:rFonts w:ascii="Inter" w:cs="Inter" w:eastAsia="Inter" w:hAnsi="Inter"/>
            <w:color w:val="164E2A"/>
            <w:sz w:val="21"/>
            <w:szCs w:val="21"/>
            <w:u w:val="single"/>
          </w:rPr>
          <w:t xml:space="preserve">2. Is banana right for you?</w:t>
        </w:r>
      </w:hyperlink>
    </w:p>
    <w:p>
      <w:pPr>
        <w:spacing w:after="30"/>
        <w:ind w:left="120"/>
      </w:pPr>
      <w:hyperlink w:history="1" w:anchor="sec2">
        <w:r>
          <w:rPr>
            <w:rFonts w:ascii="Inter" w:cs="Inter" w:eastAsia="Inter" w:hAnsi="Inter"/>
            <w:color w:val="164E2A"/>
            <w:sz w:val="21"/>
            <w:szCs w:val="21"/>
            <w:u w:val="single"/>
          </w:rPr>
          <w:t xml:space="preserve">3. Agro-ecological requirements</w:t>
        </w:r>
      </w:hyperlink>
    </w:p>
    <w:p>
      <w:pPr>
        <w:spacing w:after="30"/>
        <w:ind w:left="120"/>
      </w:pPr>
      <w:hyperlink w:history="1" w:anchor="sec3">
        <w:r>
          <w:rPr>
            <w:rFonts w:ascii="Inter" w:cs="Inter" w:eastAsia="Inter" w:hAnsi="Inter"/>
            <w:color w:val="164E2A"/>
            <w:sz w:val="21"/>
            <w:szCs w:val="21"/>
            <w:u w:val="single"/>
          </w:rPr>
          <w:t xml:space="preserve">4. Choosing your type &amp; variety</w:t>
        </w:r>
      </w:hyperlink>
    </w:p>
    <w:p>
      <w:pPr>
        <w:spacing w:after="30"/>
        <w:ind w:left="120"/>
      </w:pPr>
      <w:hyperlink w:history="1" w:anchor="sec4">
        <w:r>
          <w:rPr>
            <w:rFonts w:ascii="Inter" w:cs="Inter" w:eastAsia="Inter" w:hAnsi="Inter"/>
            <w:color w:val="164E2A"/>
            <w:sz w:val="21"/>
            <w:szCs w:val="21"/>
            <w:u w:val="single"/>
          </w:rPr>
          <w:t xml:space="preserve">5. The banana establishment &amp; ratoon cycle</w:t>
        </w:r>
      </w:hyperlink>
    </w:p>
    <w:p>
      <w:pPr>
        <w:spacing w:after="30"/>
        <w:ind w:left="120"/>
      </w:pPr>
      <w:hyperlink w:history="1" w:anchor="sec5">
        <w:r>
          <w:rPr>
            <w:rFonts w:ascii="Inter" w:cs="Inter" w:eastAsia="Inter" w:hAnsi="Inter"/>
            <w:color w:val="164E2A"/>
            <w:sz w:val="21"/>
            <w:szCs w:val="21"/>
            <w:u w:val="single"/>
          </w:rPr>
          <w:t xml:space="preserve">6. Planting material, land prep &amp; spacing</w:t>
        </w:r>
      </w:hyperlink>
    </w:p>
    <w:p>
      <w:pPr>
        <w:spacing w:after="30"/>
        <w:ind w:left="120"/>
      </w:pPr>
      <w:hyperlink w:history="1" w:anchor="sec6">
        <w:r>
          <w:rPr>
            <w:rFonts w:ascii="Inter" w:cs="Inter" w:eastAsia="Inter" w:hAnsi="Inter"/>
            <w:color w:val="164E2A"/>
            <w:sz w:val="21"/>
            <w:szCs w:val="21"/>
            <w:u w:val="single"/>
          </w:rPr>
          <w:t xml:space="preserve">7. The nutrition programme</w:t>
        </w:r>
      </w:hyperlink>
    </w:p>
    <w:p>
      <w:pPr>
        <w:spacing w:after="30"/>
        <w:ind w:left="120"/>
      </w:pPr>
      <w:hyperlink w:history="1" w:anchor="sec7">
        <w:r>
          <w:rPr>
            <w:rFonts w:ascii="Inter" w:cs="Inter" w:eastAsia="Inter" w:hAnsi="Inter"/>
            <w:color w:val="164E2A"/>
            <w:sz w:val="21"/>
            <w:szCs w:val="21"/>
            <w:u w:val="single"/>
          </w:rPr>
          <w:t xml:space="preserve">8. Water, mulch &amp; moisture</w:t>
        </w:r>
      </w:hyperlink>
    </w:p>
    <w:p>
      <w:pPr>
        <w:spacing w:after="30"/>
        <w:ind w:left="120"/>
      </w:pPr>
      <w:hyperlink w:history="1" w:anchor="sec8">
        <w:r>
          <w:rPr>
            <w:rFonts w:ascii="Inter" w:cs="Inter" w:eastAsia="Inter" w:hAnsi="Inter"/>
            <w:color w:val="164E2A"/>
            <w:sz w:val="21"/>
            <w:szCs w:val="21"/>
            <w:u w:val="single"/>
          </w:rPr>
          <w:t xml:space="preserve">9. Pest &amp; disease management (BXW is the big one)</w:t>
        </w:r>
      </w:hyperlink>
    </w:p>
    <w:p>
      <w:pPr>
        <w:spacing w:after="30"/>
        <w:ind w:left="120"/>
      </w:pPr>
      <w:hyperlink w:history="1" w:anchor="sec9">
        <w:r>
          <w:rPr>
            <w:rFonts w:ascii="Inter" w:cs="Inter" w:eastAsia="Inter" w:hAnsi="Inter"/>
            <w:color w:val="164E2A"/>
            <w:sz w:val="21"/>
            <w:szCs w:val="21"/>
            <w:u w:val="single"/>
          </w:rPr>
          <w:t xml:space="preserve">10. Harvesting &amp; post-harvest</w:t>
        </w:r>
      </w:hyperlink>
    </w:p>
    <w:p>
      <w:pPr>
        <w:spacing w:after="30"/>
        <w:ind w:left="120"/>
      </w:pPr>
      <w:hyperlink w:history="1" w:anchor="sec10">
        <w:r>
          <w:rPr>
            <w:rFonts w:ascii="Inter" w:cs="Inter" w:eastAsia="Inter" w:hAnsi="Inter"/>
            <w:color w:val="164E2A"/>
            <w:sz w:val="21"/>
            <w:szCs w:val="21"/>
            <w:u w:val="single"/>
          </w:rPr>
          <w:t xml:space="preserve">11. Markets, prices &amp; value addition</w:t>
        </w:r>
      </w:hyperlink>
    </w:p>
    <w:p>
      <w:pPr>
        <w:spacing w:after="30"/>
        <w:ind w:left="120"/>
      </w:pPr>
      <w:hyperlink w:history="1" w:anchor="sec11">
        <w:r>
          <w:rPr>
            <w:rFonts w:ascii="Inter" w:cs="Inter" w:eastAsia="Inter" w:hAnsi="Inter"/>
            <w:color w:val="164E2A"/>
            <w:sz w:val="21"/>
            <w:szCs w:val="21"/>
            <w:u w:val="single"/>
          </w:rPr>
          <w:t xml:space="preserve">12. The economics — full gross-margin model</w:t>
        </w:r>
      </w:hyperlink>
    </w:p>
    <w:p>
      <w:pPr>
        <w:spacing w:after="30"/>
        <w:ind w:left="120"/>
      </w:pPr>
      <w:hyperlink w:history="1" w:anchor="sec12">
        <w:r>
          <w:rPr>
            <w:rFonts w:ascii="Inter" w:cs="Inter" w:eastAsia="Inter" w:hAnsi="Inter"/>
            <w:color w:val="164E2A"/>
            <w:sz w:val="21"/>
            <w:szCs w:val="21"/>
            <w:u w:val="single"/>
          </w:rPr>
          <w:t xml:space="preserve">13. Common mistakes that destroy banana profit</w:t>
        </w:r>
      </w:hyperlink>
    </w:p>
    <w:p>
      <w:pPr>
        <w:spacing w:after="30"/>
        <w:ind w:left="120"/>
      </w:pPr>
      <w:hyperlink w:history="1" w:anchor="sec13">
        <w:r>
          <w:rPr>
            <w:rFonts w:ascii="Inter" w:cs="Inter" w:eastAsia="Inter" w:hAnsi="Inter"/>
            <w:color w:val="164E2A"/>
            <w:sz w:val="21"/>
            <w:szCs w:val="21"/>
            <w:u w:val="single"/>
          </w:rPr>
          <w:t xml:space="preserve">14. Risk management matrix</w:t>
        </w:r>
      </w:hyperlink>
    </w:p>
    <w:p>
      <w:pPr>
        <w:spacing w:after="30"/>
        <w:ind w:left="120"/>
      </w:pPr>
      <w:hyperlink w:history="1" w:anchor="sec14">
        <w:r>
          <w:rPr>
            <w:rFonts w:ascii="Inter" w:cs="Inter" w:eastAsia="Inter" w:hAnsi="Inter"/>
            <w:color w:val="164E2A"/>
            <w:sz w:val="21"/>
            <w:szCs w:val="21"/>
            <w:u w:val="single"/>
          </w:rPr>
          <w:t xml:space="preserve">15. Your establishment action plan</w:t>
        </w:r>
      </w:hyperlink>
    </w:p>
    <w:p>
      <w:pPr>
        <w:spacing w:after="30"/>
        <w:ind w:left="120"/>
      </w:pPr>
      <w:hyperlink w:history="1" w:anchor="sec15">
        <w:r>
          <w:rPr>
            <w:rFonts w:ascii="Inter" w:cs="Inter" w:eastAsia="Inter" w:hAnsi="Inter"/>
            <w:color w:val="164E2A"/>
            <w:sz w:val="21"/>
            <w:szCs w:val="21"/>
            <w:u w:val="single"/>
          </w:rPr>
          <w:t xml:space="preserve">16. Frequently asked questions</w:t>
        </w:r>
      </w:hyperlink>
    </w:p>
    <w:p>
      <w:r>
        <w:br w:type="page"/>
      </w:r>
    </w:p>
    <w:p>
      <w:pPr>
        <w:pStyle w:val="Heading1"/>
        <w:spacing w:after="90" w:before="240"/>
      </w:pPr>
      <w:bookmarkStart w:name="sec0" w:id="1"/>
      <w:r>
        <w:rPr>
          <w:rFonts w:ascii="Inter" w:cs="Inter" w:eastAsia="Inter" w:hAnsi="Inter"/>
          <w:b/>
          <w:bCs/>
          <w:color w:val="1F6F3D"/>
          <w:sz w:val="28"/>
          <w:szCs w:val="28"/>
        </w:rPr>
        <w:t xml:space="preserve">1. The opportunity — staple and steady income</w:t>
      </w:r>
      <w:bookmarkEnd w:id="1"/>
    </w:p>
    <w:p>
      <w:pPr>
        <w:pBdr>
          <w:bottom w:val="single" w:color="E8A33A" w:sz="10" w:space="1"/>
        </w:pBdr>
        <w:spacing w:after="120" w:before="0"/>
      </w:pPr>
      <w:r>
        <w:rPr>
          <w:sz w:val="2"/>
          <w:szCs w:val="2"/>
        </w:rPr>
        <w:t xml:space="preserve"/>
      </w:r>
    </w:p>
    <w:p>
      <w:pPr>
        <w:spacing w:after="120"/>
      </w:pPr>
      <w:r>
        <w:rPr>
          <w:rFonts w:ascii="Inter" w:cs="Inter" w:eastAsia="Inter" w:hAnsi="Inter"/>
          <w:color w:val="1F1B16"/>
          <w:sz w:val="21"/>
          <w:szCs w:val="21"/>
        </w:rPr>
        <w:t xml:space="preserve">Banana is one of the most important crops in the East African highlands — simultaneously a </w:t>
      </w:r>
      <w:r>
        <w:rPr>
          <w:rFonts w:ascii="Inter" w:cs="Inter" w:eastAsia="Inter" w:hAnsi="Inter"/>
          <w:b/>
          <w:bCs/>
          <w:color w:val="1F1B16"/>
          <w:sz w:val="21"/>
          <w:szCs w:val="21"/>
        </w:rPr>
        <w:t xml:space="preserve">food staple</w:t>
      </w:r>
      <w:r>
        <w:rPr>
          <w:rFonts w:ascii="Inter" w:cs="Inter" w:eastAsia="Inter" w:hAnsi="Inter"/>
          <w:color w:val="1F1B16"/>
          <w:sz w:val="21"/>
          <w:szCs w:val="21"/>
        </w:rPr>
        <w:t xml:space="preserve"> and a </w:t>
      </w:r>
      <w:r>
        <w:rPr>
          <w:rFonts w:ascii="Inter" w:cs="Inter" w:eastAsia="Inter" w:hAnsi="Inter"/>
          <w:b/>
          <w:bCs/>
          <w:color w:val="1F1B16"/>
          <w:sz w:val="21"/>
          <w:szCs w:val="21"/>
        </w:rPr>
        <w:t xml:space="preserve">year-round income source</w:t>
      </w:r>
      <w:r>
        <w:rPr>
          <w:rFonts w:ascii="Inter" w:cs="Inter" w:eastAsia="Inter" w:hAnsi="Inter"/>
          <w:color w:val="1F1B16"/>
          <w:sz w:val="21"/>
          <w:szCs w:val="21"/>
        </w:rPr>
        <w:t xml:space="preserve">. In Uganda it is </w:t>
      </w:r>
      <w:r>
        <w:rPr>
          <w:rFonts w:ascii="Inter" w:cs="Inter" w:eastAsia="Inter" w:hAnsi="Inter"/>
          <w:i/>
          <w:iCs/>
          <w:color w:val="1F1B16"/>
          <w:sz w:val="21"/>
          <w:szCs w:val="21"/>
        </w:rPr>
        <w:t xml:space="preserve">the</w:t>
      </w:r>
      <w:r>
        <w:rPr>
          <w:rFonts w:ascii="Inter" w:cs="Inter" w:eastAsia="Inter" w:hAnsi="Inter"/>
          <w:color w:val="1F1B16"/>
          <w:sz w:val="21"/>
          <w:szCs w:val="21"/>
        </w:rPr>
        <w:t xml:space="preserve"> staple: </w:t>
      </w:r>
      <w:r>
        <w:rPr>
          <w:rFonts w:ascii="Inter" w:cs="Inter" w:eastAsia="Inter" w:hAnsi="Inter"/>
          <w:b/>
          <w:bCs/>
          <w:color w:val="1F1B16"/>
          <w:sz w:val="21"/>
          <w:szCs w:val="21"/>
        </w:rPr>
        <w:t xml:space="preserve">matooke</w:t>
      </w:r>
      <w:r>
        <w:rPr>
          <w:rFonts w:ascii="Inter" w:cs="Inter" w:eastAsia="Inter" w:hAnsi="Inter"/>
          <w:color w:val="1F1B16"/>
          <w:sz w:val="21"/>
          <w:szCs w:val="21"/>
        </w:rPr>
        <w:t xml:space="preserve"> (steamed cooking banana) anchors the national diet and a huge domestic market. Around Lake Victoria, the Kagera basin, the Kilimanjaro and Mt Elgon slopes, and the hills of Rwanda and Burundi, East African Highland Bananas (EAHB), dessert types and beer bananas underpin both subsistence and cash. A well-managed plantation, once established, </w:t>
      </w:r>
      <w:r>
        <w:rPr>
          <w:rFonts w:ascii="Inter" w:cs="Inter" w:eastAsia="Inter" w:hAnsi="Inter"/>
          <w:b/>
          <w:bCs/>
          <w:color w:val="1F1B16"/>
          <w:sz w:val="21"/>
          <w:szCs w:val="21"/>
        </w:rPr>
        <w:t xml:space="preserve">harvests continuously for years</w:t>
      </w:r>
      <w:r>
        <w:rPr>
          <w:rFonts w:ascii="Inter" w:cs="Inter" w:eastAsia="Inter" w:hAnsi="Inter"/>
          <w:color w:val="1F1B16"/>
          <w:sz w:val="21"/>
          <w:szCs w:val="21"/>
        </w:rPr>
        <w:t xml:space="preserve"> — there is no single "season" — giving farmers steady weekly cash flow that few other crops match.</w:t>
      </w:r>
    </w:p>
    <w:p>
      <w:pPr>
        <w:spacing w:after="120"/>
      </w:pPr>
      <w:r>
        <w:rPr>
          <w:rFonts w:ascii="Inter" w:cs="Inter" w:eastAsia="Inter" w:hAnsi="Inter"/>
          <w:color w:val="1F1B16"/>
          <w:sz w:val="21"/>
          <w:szCs w:val="21"/>
        </w:rPr>
        <w:t xml:space="preserve">The opportunity and the threat are the same word: </w:t>
      </w:r>
      <w:r>
        <w:rPr>
          <w:rFonts w:ascii="Inter" w:cs="Inter" w:eastAsia="Inter" w:hAnsi="Inter"/>
          <w:b/>
          <w:bCs/>
          <w:color w:val="1F1B16"/>
          <w:sz w:val="21"/>
          <w:szCs w:val="21"/>
        </w:rPr>
        <w:t xml:space="preserve">disease</w:t>
      </w:r>
      <w:r>
        <w:rPr>
          <w:rFonts w:ascii="Inter" w:cs="Inter" w:eastAsia="Inter" w:hAnsi="Inter"/>
          <w:color w:val="1F1B16"/>
          <w:sz w:val="21"/>
          <w:szCs w:val="21"/>
        </w:rPr>
        <w:t xml:space="preserve">. Banana Xanthomonas Wilt (BXW) and poor planting material have devastated plantations across the region; the growers who win start with </w:t>
      </w:r>
      <w:r>
        <w:rPr>
          <w:rFonts w:ascii="Inter" w:cs="Inter" w:eastAsia="Inter" w:hAnsi="Inter"/>
          <w:b/>
          <w:bCs/>
          <w:color w:val="1F1B16"/>
          <w:sz w:val="21"/>
          <w:szCs w:val="21"/>
        </w:rPr>
        <w:t xml:space="preserve">clean tissue-culture material</w:t>
      </w:r>
      <w:r>
        <w:rPr>
          <w:rFonts w:ascii="Inter" w:cs="Inter" w:eastAsia="Inter" w:hAnsi="Inter"/>
          <w:color w:val="1F1B16"/>
          <w:sz w:val="21"/>
          <w:szCs w:val="21"/>
        </w:rPr>
        <w:t xml:space="preserve">, manage the mat well, and feed and mulch heavily.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Country</w:t>
            </w:r>
          </w:p>
        </w:tc>
        <w:tc>
          <w:tcPr>
            <w:tcW w:type="dxa" w:w="312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Role &amp; zones</w:t>
            </w:r>
          </w:p>
        </w:tc>
        <w:tc>
          <w:tcPr>
            <w:tcW w:type="dxa" w:w="312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Note</w:t>
            </w:r>
          </w:p>
        </w:tc>
      </w:tr>
      <w:tr>
        <w:trPr>
          <w:tblHeader w:val="false"/>
        </w:trPr>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Uganda</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Matooke staple; central &amp; SW</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Largest matooke market in the region</w:t>
            </w:r>
          </w:p>
        </w:tc>
      </w:tr>
      <w:tr>
        <w:trPr>
          <w:tblHeader w:val="false"/>
        </w:trPr>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Tanzania</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Kagera, Kilimanjaro; cooking &amp; beer</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Highland banana heartlands</w:t>
            </w:r>
          </w:p>
        </w:tc>
      </w:tr>
      <w:tr>
        <w:trPr>
          <w:tblHeader w:val="false"/>
        </w:trPr>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Rwanda / Burundi</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Hills nationwide; cooking, dessert, beer</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Beer banana culturally + commercially important</w:t>
            </w:r>
          </w:p>
        </w:tc>
      </w:tr>
    </w:tbl>
    <w:p>
      <w:pPr>
        <w:spacing w:after="120"/>
      </w:pPr>
      <w:r>
        <w:rPr>
          <w:sz w:val="2"/>
          <w:szCs w:val="2"/>
        </w:rPr>
        <w:t xml:space="preserve"/>
      </w:r>
    </w:p>
    <w:p>
      <w:pPr>
        <w:pStyle w:val="Heading1"/>
        <w:spacing w:after="90" w:before="240"/>
      </w:pPr>
      <w:bookmarkStart w:name="sec1" w:id="1"/>
      <w:r>
        <w:rPr>
          <w:rFonts w:ascii="Inter" w:cs="Inter" w:eastAsia="Inter" w:hAnsi="Inter"/>
          <w:b/>
          <w:bCs/>
          <w:color w:val="1F6F3D"/>
          <w:sz w:val="28"/>
          <w:szCs w:val="28"/>
        </w:rPr>
        <w:t xml:space="preserve">2. Is banana right for you?</w:t>
      </w:r>
      <w:bookmarkEnd w:id="1"/>
    </w:p>
    <w:p>
      <w:pPr>
        <w:pBdr>
          <w:bottom w:val="single" w:color="E8A33A" w:sz="10" w:space="1"/>
        </w:pBdr>
        <w:spacing w:after="120" w:before="0"/>
      </w:pPr>
      <w:r>
        <w:rPr>
          <w:sz w:val="2"/>
          <w:szCs w:val="2"/>
        </w:rPr>
        <w:t xml:space="preserve"/>
      </w:r>
    </w:p>
    <w:p>
      <w:pPr>
        <w:pStyle w:val="ListParagraph"/>
        <w:numPr>
          <w:ilvl w:val="0"/>
          <w:numId w:val="2"/>
        </w:numPr>
        <w:spacing w:after="40"/>
      </w:pPr>
      <w:r>
        <w:rPr>
          <w:rFonts w:ascii="Inter" w:cs="Inter" w:eastAsia="Inter" w:hAnsi="Inter"/>
          <w:b/>
          <w:bCs/>
          <w:color w:val="1F1B16"/>
          <w:sz w:val="21"/>
          <w:szCs w:val="21"/>
        </w:rPr>
        <w:t xml:space="preserve">Rainfall/moisture:</w:t>
      </w:r>
      <w:r>
        <w:rPr>
          <w:rFonts w:ascii="Inter" w:cs="Inter" w:eastAsia="Inter" w:hAnsi="Inter"/>
          <w:color w:val="1F1B16"/>
          <w:sz w:val="21"/>
          <w:szCs w:val="21"/>
        </w:rPr>
        <w:t xml:space="preserve"> 1,000 mm+ well distributed, or irrigation/mulch to bridge dry spells.</w:t>
      </w:r>
    </w:p>
    <w:p>
      <w:pPr>
        <w:pStyle w:val="ListParagraph"/>
        <w:numPr>
          <w:ilvl w:val="0"/>
          <w:numId w:val="2"/>
        </w:numPr>
        <w:spacing w:after="40"/>
      </w:pPr>
      <w:r>
        <w:rPr>
          <w:rFonts w:ascii="Inter" w:cs="Inter" w:eastAsia="Inter" w:hAnsi="Inter"/>
          <w:b/>
          <w:bCs/>
          <w:color w:val="1F1B16"/>
          <w:sz w:val="21"/>
          <w:szCs w:val="21"/>
        </w:rPr>
        <w:t xml:space="preserve">Clean planting material:</w:t>
      </w:r>
      <w:r>
        <w:rPr>
          <w:rFonts w:ascii="Inter" w:cs="Inter" w:eastAsia="Inter" w:hAnsi="Inter"/>
          <w:color w:val="1F1B16"/>
          <w:sz w:val="21"/>
          <w:szCs w:val="21"/>
        </w:rPr>
        <w:t xml:space="preserve"> Can you source tissue-culture (TC) plantlets or clean suckers? This is the #1 disease decision.</w:t>
      </w:r>
    </w:p>
    <w:p>
      <w:pPr>
        <w:pStyle w:val="ListParagraph"/>
        <w:numPr>
          <w:ilvl w:val="0"/>
          <w:numId w:val="2"/>
        </w:numPr>
        <w:spacing w:after="40"/>
      </w:pPr>
      <w:r>
        <w:rPr>
          <w:rFonts w:ascii="Inter" w:cs="Inter" w:eastAsia="Inter" w:hAnsi="Inter"/>
          <w:b/>
          <w:bCs/>
          <w:color w:val="1F1B16"/>
          <w:sz w:val="21"/>
          <w:szCs w:val="21"/>
        </w:rPr>
        <w:t xml:space="preserve">Soil fertility &amp; mulch:</w:t>
      </w:r>
      <w:r>
        <w:rPr>
          <w:rFonts w:ascii="Inter" w:cs="Inter" w:eastAsia="Inter" w:hAnsi="Inter"/>
          <w:color w:val="1F1B16"/>
          <w:sz w:val="21"/>
          <w:szCs w:val="21"/>
        </w:rPr>
        <w:t xml:space="preserve"> Banana is a heavy feeder — can you supply manure and mulch consistently?</w:t>
      </w:r>
    </w:p>
    <w:p>
      <w:pPr>
        <w:pStyle w:val="ListParagraph"/>
        <w:numPr>
          <w:ilvl w:val="0"/>
          <w:numId w:val="2"/>
        </w:numPr>
        <w:spacing w:after="40"/>
      </w:pPr>
      <w:r>
        <w:rPr>
          <w:rFonts w:ascii="Inter" w:cs="Inter" w:eastAsia="Inter" w:hAnsi="Inter"/>
          <w:b/>
          <w:bCs/>
          <w:color w:val="1F1B16"/>
          <w:sz w:val="21"/>
          <w:szCs w:val="21"/>
        </w:rPr>
        <w:t xml:space="preserve">Patience for payback:</w:t>
      </w:r>
      <w:r>
        <w:rPr>
          <w:rFonts w:ascii="Inter" w:cs="Inter" w:eastAsia="Inter" w:hAnsi="Inter"/>
          <w:color w:val="1F1B16"/>
          <w:sz w:val="21"/>
          <w:szCs w:val="21"/>
        </w:rPr>
        <w:t xml:space="preserve"> First bunches ~12–18 months; then continuous harvest for years.</w:t>
      </w:r>
    </w:p>
    <w:p>
      <w:pPr>
        <w:pStyle w:val="Heading1"/>
        <w:spacing w:after="90" w:before="240"/>
      </w:pPr>
      <w:bookmarkStart w:name="sec2" w:id="1"/>
      <w:r>
        <w:rPr>
          <w:rFonts w:ascii="Inter" w:cs="Inter" w:eastAsia="Inter" w:hAnsi="Inter"/>
          <w:b/>
          <w:bCs/>
          <w:color w:val="1F6F3D"/>
          <w:sz w:val="28"/>
          <w:szCs w:val="28"/>
        </w:rPr>
        <w:t xml:space="preserve">3. Agro-ecological requirements</w:t>
      </w:r>
      <w:bookmarkEnd w:id="1"/>
    </w:p>
    <w:p>
      <w:pPr>
        <w:pBdr>
          <w:bottom w:val="single" w:color="E8A33A" w:sz="10" w:space="1"/>
        </w:pBdr>
        <w:spacing w:after="120" w:before="0"/>
      </w:pPr>
      <w:r>
        <w:rPr>
          <w:sz w:val="2"/>
          <w:szCs w:val="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Factor</w:t>
            </w:r>
          </w:p>
        </w:tc>
        <w:tc>
          <w:tcPr>
            <w:tcW w:type="dxa" w:w="312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Requirement</w:t>
            </w:r>
          </w:p>
        </w:tc>
        <w:tc>
          <w:tcPr>
            <w:tcW w:type="dxa" w:w="312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Why it matters</w:t>
            </w:r>
          </w:p>
        </w:tc>
      </w:tr>
      <w:tr>
        <w:trPr>
          <w:tblHeader w:val="false"/>
        </w:trPr>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Altitude</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0–2,500 m (EAHB best 1,000–1,800 m)</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Sets temperature and type suitability</w:t>
            </w:r>
          </w:p>
        </w:tc>
      </w:tr>
      <w:tr>
        <w:trPr>
          <w:tblHeader w:val="false"/>
        </w:trPr>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Temperature</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18–30 °C</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Cold slows growth; frost damages</w:t>
            </w:r>
          </w:p>
        </w:tc>
      </w:tr>
      <w:tr>
        <w:trPr>
          <w:tblHeader w:val="false"/>
        </w:trPr>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Rainfall</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1,000–1,800 mm well distributed</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Moisture stress cuts bunch size</w:t>
            </w:r>
          </w:p>
        </w:tc>
      </w:tr>
      <w:tr>
        <w:trPr>
          <w:tblHeader w:val="false"/>
        </w:trPr>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Soil</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Deep, fertile, well-drained loam; pH 5.5–7.0</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Fertility + drainage drive yield and longevity</w:t>
            </w:r>
          </w:p>
        </w:tc>
      </w:tr>
    </w:tbl>
    <w:p>
      <w:pPr>
        <w:spacing w:after="120"/>
      </w:pPr>
      <w:r>
        <w:rPr>
          <w:sz w:val="2"/>
          <w:szCs w:val="2"/>
        </w:rPr>
        <w:t xml:space="preserve"/>
      </w:r>
    </w:p>
    <w:p>
      <w:pPr>
        <w:pStyle w:val="Heading1"/>
        <w:spacing w:after="90" w:before="240"/>
      </w:pPr>
      <w:bookmarkStart w:name="sec3" w:id="1"/>
      <w:r>
        <w:rPr>
          <w:rFonts w:ascii="Inter" w:cs="Inter" w:eastAsia="Inter" w:hAnsi="Inter"/>
          <w:b/>
          <w:bCs/>
          <w:color w:val="1F6F3D"/>
          <w:sz w:val="28"/>
          <w:szCs w:val="28"/>
        </w:rPr>
        <w:t xml:space="preserve">4. Choosing your type &amp; variety</w:t>
      </w:r>
      <w:bookmarkEnd w:id="1"/>
    </w:p>
    <w:p>
      <w:pPr>
        <w:pBdr>
          <w:bottom w:val="single" w:color="E8A33A" w:sz="10" w:space="1"/>
        </w:pBdr>
        <w:spacing w:after="120" w:before="0"/>
      </w:pPr>
      <w:r>
        <w:rPr>
          <w:sz w:val="2"/>
          <w:szCs w:val="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Type</w:t>
            </w:r>
          </w:p>
        </w:tc>
        <w:tc>
          <w:tcPr>
            <w:tcW w:type="dxa" w:w="312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Examples</w:t>
            </w:r>
          </w:p>
        </w:tc>
        <w:tc>
          <w:tcPr>
            <w:tcW w:type="dxa" w:w="312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Use</w:t>
            </w:r>
          </w:p>
        </w:tc>
      </w:tr>
      <w:tr>
        <w:trPr>
          <w:tblHeader w:val="false"/>
        </w:trPr>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EAHB cooking (matooke)</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Mpologoma, Nakitembe, Mbwazirume, Kibuzi, Musakala</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Steamed staple (Uganda, TZ highlands)</w:t>
            </w:r>
          </w:p>
        </w:tc>
      </w:tr>
      <w:tr>
        <w:trPr>
          <w:tblHeader w:val="false"/>
        </w:trPr>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Improved hybrids</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FHIA-17/23, NARITA hybrids</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Disease/nematode tolerance, vigour</w:t>
            </w:r>
          </w:p>
        </w:tc>
      </w:tr>
      <w:tr>
        <w:trPr>
          <w:tblHeader w:val="false"/>
        </w:trPr>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Dessert</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Bogoya (Gros Michel), Cavendish, Sukari Ndizi (apple)</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Fresh eating, urban + export potential</w:t>
            </w:r>
          </w:p>
        </w:tc>
      </w:tr>
      <w:tr>
        <w:trPr>
          <w:tblHeader w:val="false"/>
        </w:trPr>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Beer / roasting</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Kayinja (Pisang Awak), Gonja (plantain)</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Beer/juice; roasting plantain</w:t>
            </w:r>
          </w:p>
        </w:tc>
      </w:tr>
    </w:tbl>
    <w:p>
      <w:pPr>
        <w:spacing w:after="120"/>
      </w:pPr>
      <w:r>
        <w:rPr>
          <w:sz w:val="2"/>
          <w:szCs w:val="2"/>
        </w:rPr>
        <w:t xml:space="preserve"/>
      </w:r>
    </w:p>
    <w:p>
      <w:pPr>
        <w:spacing w:after="120"/>
      </w:pPr>
      <w:r>
        <w:rPr>
          <w:rFonts w:ascii="Inter" w:cs="Inter" w:eastAsia="Inter" w:hAnsi="Inter"/>
          <w:color w:val="1F1B16"/>
          <w:sz w:val="21"/>
          <w:szCs w:val="21"/>
        </w:rPr>
        <w:t xml:space="preserve">Use </w:t>
      </w:r>
      <w:r>
        <w:rPr>
          <w:rFonts w:ascii="Inter" w:cs="Inter" w:eastAsia="Inter" w:hAnsi="Inter"/>
          <w:b/>
          <w:bCs/>
          <w:color w:val="1F1B16"/>
          <w:sz w:val="21"/>
          <w:szCs w:val="21"/>
        </w:rPr>
        <w:t xml:space="preserve">clean tissue-culture plantlets</w:t>
      </w:r>
      <w:r>
        <w:rPr>
          <w:rFonts w:ascii="Inter" w:cs="Inter" w:eastAsia="Inter" w:hAnsi="Inter"/>
          <w:color w:val="1F1B16"/>
          <w:sz w:val="21"/>
          <w:szCs w:val="21"/>
        </w:rPr>
        <w:t xml:space="preserve"> where possible (disease-free, uniform, vigorous). If using suckers, take </w:t>
      </w:r>
      <w:r>
        <w:rPr>
          <w:rFonts w:ascii="Inter" w:cs="Inter" w:eastAsia="Inter" w:hAnsi="Inter"/>
          <w:b/>
          <w:bCs/>
          <w:color w:val="1F1B16"/>
          <w:sz w:val="21"/>
          <w:szCs w:val="21"/>
        </w:rPr>
        <w:t xml:space="preserve">sword suckers from healthy mats only</w:t>
      </w:r>
      <w:r>
        <w:rPr>
          <w:rFonts w:ascii="Inter" w:cs="Inter" w:eastAsia="Inter" w:hAnsi="Inter"/>
          <w:color w:val="1F1B16"/>
          <w:sz w:val="21"/>
          <w:szCs w:val="21"/>
        </w:rPr>
        <w:t xml:space="preserve"> and pare/clean them to reduce nematodes and weevils.</w:t>
      </w:r>
    </w:p>
    <w:p>
      <w:pPr>
        <w:pStyle w:val="Heading1"/>
        <w:spacing w:after="90" w:before="240"/>
      </w:pPr>
      <w:bookmarkStart w:name="sec4" w:id="1"/>
      <w:r>
        <w:rPr>
          <w:rFonts w:ascii="Inter" w:cs="Inter" w:eastAsia="Inter" w:hAnsi="Inter"/>
          <w:b/>
          <w:bCs/>
          <w:color w:val="1F6F3D"/>
          <w:sz w:val="28"/>
          <w:szCs w:val="28"/>
        </w:rPr>
        <w:t xml:space="preserve">5. The banana establishment &amp; ratoon cycle</w:t>
      </w:r>
      <w:bookmarkEnd w:id="1"/>
    </w:p>
    <w:p>
      <w:pPr>
        <w:pBdr>
          <w:bottom w:val="single" w:color="E8A33A" w:sz="10" w:space="1"/>
        </w:pBdr>
        <w:spacing w:after="120" w:before="0"/>
      </w:pPr>
      <w:r>
        <w:rPr>
          <w:sz w:val="2"/>
          <w:szCs w:val="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Stage</w:t>
            </w:r>
          </w:p>
        </w:tc>
        <w:tc>
          <w:tcPr>
            <w:tcW w:type="dxa" w:w="312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Timing</w:t>
            </w:r>
          </w:p>
        </w:tc>
        <w:tc>
          <w:tcPr>
            <w:tcW w:type="dxa" w:w="312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Key actions</w:t>
            </w:r>
          </w:p>
        </w:tc>
      </w:tr>
      <w:tr>
        <w:trPr>
          <w:tblHeader w:val="false"/>
        </w:trPr>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Establishment</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Months 0–3</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Plant TC/clean suckers in manured pits; mulch heavily</w:t>
            </w:r>
          </w:p>
        </w:tc>
      </w:tr>
      <w:tr>
        <w:trPr>
          <w:tblHeader w:val="false"/>
        </w:trPr>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Vegetative</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Months 3–10</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Weeding, fertiliser, desucker (manage the mat), prop tall plants</w:t>
            </w:r>
          </w:p>
        </w:tc>
      </w:tr>
      <w:tr>
        <w:trPr>
          <w:tblHeader w:val="false"/>
        </w:trPr>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Flowering/bunching</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Months 10–14</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Support bunches; remove male bud; sustain nutrition/moisture</w:t>
            </w:r>
          </w:p>
        </w:tc>
      </w:tr>
      <w:tr>
        <w:trPr>
          <w:tblHeader w:val="false"/>
        </w:trPr>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First harvest</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Months 12–18</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Cut mature bunches; the mat then ratoons</w:t>
            </w:r>
          </w:p>
        </w:tc>
      </w:tr>
      <w:tr>
        <w:trPr>
          <w:tblHeader w:val="false"/>
        </w:trPr>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Ratoon production</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Continuous (years)</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Maintain 3 plants/mat (mother, daughter, granddaughter); ongoing feed/mulch</w:t>
            </w:r>
          </w:p>
        </w:tc>
      </w:tr>
    </w:tbl>
    <w:p>
      <w:pPr>
        <w:spacing w:after="120"/>
      </w:pPr>
      <w:r>
        <w:rPr>
          <w:sz w:val="2"/>
          <w:szCs w:val="2"/>
        </w:rPr>
        <w:t xml:space="preserve"/>
      </w:r>
    </w:p>
    <w:p>
      <w:pPr>
        <w:pStyle w:val="Heading1"/>
        <w:spacing w:after="90" w:before="240"/>
      </w:pPr>
      <w:bookmarkStart w:name="sec5" w:id="1"/>
      <w:r>
        <w:rPr>
          <w:rFonts w:ascii="Inter" w:cs="Inter" w:eastAsia="Inter" w:hAnsi="Inter"/>
          <w:b/>
          <w:bCs/>
          <w:color w:val="1F6F3D"/>
          <w:sz w:val="28"/>
          <w:szCs w:val="28"/>
        </w:rPr>
        <w:t xml:space="preserve">6. Planting material, land prep &amp; spacing</w:t>
      </w:r>
      <w:bookmarkEnd w:id="1"/>
    </w:p>
    <w:p>
      <w:pPr>
        <w:pBdr>
          <w:bottom w:val="single" w:color="E8A33A" w:sz="10" w:space="1"/>
        </w:pBdr>
        <w:spacing w:after="120" w:before="0"/>
      </w:pPr>
      <w:r>
        <w:rPr>
          <w:sz w:val="2"/>
          <w:szCs w:val="2"/>
        </w:rPr>
        <w:t xml:space="preserve"/>
      </w:r>
    </w:p>
    <w:p>
      <w:pPr>
        <w:pStyle w:val="ListParagraph"/>
        <w:numPr>
          <w:ilvl w:val="0"/>
          <w:numId w:val="2"/>
        </w:numPr>
        <w:spacing w:after="40"/>
      </w:pPr>
      <w:r>
        <w:rPr>
          <w:rFonts w:ascii="Inter" w:cs="Inter" w:eastAsia="Inter" w:hAnsi="Inter"/>
          <w:b/>
          <w:bCs/>
          <w:color w:val="1F1B16"/>
          <w:sz w:val="21"/>
          <w:szCs w:val="21"/>
        </w:rPr>
        <w:t xml:space="preserve">Spacing:</w:t>
      </w:r>
      <w:r>
        <w:rPr>
          <w:rFonts w:ascii="Inter" w:cs="Inter" w:eastAsia="Inter" w:hAnsi="Inter"/>
          <w:color w:val="1F1B16"/>
          <w:sz w:val="21"/>
          <w:szCs w:val="21"/>
        </w:rPr>
        <w:t xml:space="preserve"> ~3 × 3 m → </w:t>
      </w:r>
      <w:r>
        <w:rPr>
          <w:rFonts w:ascii="Inter" w:cs="Inter" w:eastAsia="Inter" w:hAnsi="Inter"/>
          <w:b/>
          <w:bCs/>
          <w:color w:val="1F1B16"/>
          <w:sz w:val="21"/>
          <w:szCs w:val="21"/>
        </w:rPr>
        <w:t xml:space="preserve">~450–600 mats/acre</w:t>
      </w:r>
      <w:r>
        <w:rPr>
          <w:rFonts w:ascii="Inter" w:cs="Inter" w:eastAsia="Inter" w:hAnsi="Inter"/>
          <w:color w:val="1F1B16"/>
          <w:sz w:val="21"/>
          <w:szCs w:val="21"/>
        </w:rPr>
        <w:t xml:space="preserve"> (≈1,100–1,500/ha).</w:t>
      </w:r>
    </w:p>
    <w:p>
      <w:pPr>
        <w:pStyle w:val="ListParagraph"/>
        <w:numPr>
          <w:ilvl w:val="0"/>
          <w:numId w:val="2"/>
        </w:numPr>
        <w:spacing w:after="40"/>
      </w:pPr>
      <w:r>
        <w:rPr>
          <w:rFonts w:ascii="Inter" w:cs="Inter" w:eastAsia="Inter" w:hAnsi="Inter"/>
          <w:color w:val="1F1B16"/>
          <w:sz w:val="21"/>
          <w:szCs w:val="21"/>
        </w:rPr>
        <w:t xml:space="preserve">Dig generous pits, fill with topsoil + plenty of </w:t>
      </w:r>
      <w:r>
        <w:rPr>
          <w:rFonts w:ascii="Inter" w:cs="Inter" w:eastAsia="Inter" w:hAnsi="Inter"/>
          <w:b/>
          <w:bCs/>
          <w:color w:val="1F1B16"/>
          <w:sz w:val="21"/>
          <w:szCs w:val="21"/>
        </w:rPr>
        <w:t xml:space="preserve">manure</w:t>
      </w:r>
      <w:r>
        <w:rPr>
          <w:rFonts w:ascii="Inter" w:cs="Inter" w:eastAsia="Inter" w:hAnsi="Inter"/>
          <w:color w:val="1F1B16"/>
          <w:sz w:val="21"/>
          <w:szCs w:val="21"/>
        </w:rPr>
        <w:t xml:space="preserve">.</w:t>
      </w:r>
    </w:p>
    <w:p>
      <w:pPr>
        <w:pStyle w:val="ListParagraph"/>
        <w:numPr>
          <w:ilvl w:val="0"/>
          <w:numId w:val="2"/>
        </w:numPr>
        <w:spacing w:after="40"/>
      </w:pPr>
      <w:r>
        <w:rPr>
          <w:rFonts w:ascii="Inter" w:cs="Inter" w:eastAsia="Inter" w:hAnsi="Inter"/>
          <w:color w:val="1F1B16"/>
          <w:sz w:val="21"/>
          <w:szCs w:val="21"/>
        </w:rPr>
        <w:t xml:space="preserve">Manage the mat: keep </w:t>
      </w:r>
      <w:r>
        <w:rPr>
          <w:rFonts w:ascii="Inter" w:cs="Inter" w:eastAsia="Inter" w:hAnsi="Inter"/>
          <w:b/>
          <w:bCs/>
          <w:color w:val="1F1B16"/>
          <w:sz w:val="21"/>
          <w:szCs w:val="21"/>
        </w:rPr>
        <w:t xml:space="preserve">three plants per stool</w:t>
      </w:r>
      <w:r>
        <w:rPr>
          <w:rFonts w:ascii="Inter" w:cs="Inter" w:eastAsia="Inter" w:hAnsi="Inter"/>
          <w:color w:val="1F1B16"/>
          <w:sz w:val="21"/>
          <w:szCs w:val="21"/>
        </w:rPr>
        <w:t xml:space="preserve"> (mother + two followers of different ages) for continuous bunching; remove excess suckers.</w:t>
      </w:r>
    </w:p>
    <w:p>
      <w:pPr>
        <w:pStyle w:val="Heading1"/>
        <w:spacing w:after="90" w:before="240"/>
      </w:pPr>
      <w:bookmarkStart w:name="sec6" w:id="1"/>
      <w:r>
        <w:rPr>
          <w:rFonts w:ascii="Inter" w:cs="Inter" w:eastAsia="Inter" w:hAnsi="Inter"/>
          <w:b/>
          <w:bCs/>
          <w:color w:val="1F6F3D"/>
          <w:sz w:val="28"/>
          <w:szCs w:val="28"/>
        </w:rPr>
        <w:t xml:space="preserve">7. The nutrition programme</w:t>
      </w:r>
      <w:bookmarkEnd w:id="1"/>
    </w:p>
    <w:p>
      <w:pPr>
        <w:pBdr>
          <w:bottom w:val="single" w:color="E8A33A" w:sz="10" w:space="1"/>
        </w:pBdr>
        <w:spacing w:after="120" w:before="0"/>
      </w:pPr>
      <w:r>
        <w:rPr>
          <w:sz w:val="2"/>
          <w:szCs w:val="2"/>
        </w:rPr>
        <w:t xml:space="preserve"/>
      </w:r>
    </w:p>
    <w:p>
      <w:pPr>
        <w:spacing w:after="120"/>
      </w:pPr>
      <w:r>
        <w:rPr>
          <w:rFonts w:ascii="Inter" w:cs="Inter" w:eastAsia="Inter" w:hAnsi="Inter"/>
          <w:color w:val="1F1B16"/>
          <w:sz w:val="21"/>
          <w:szCs w:val="21"/>
        </w:rPr>
        <w:t xml:space="preserve">Banana is a </w:t>
      </w:r>
      <w:r>
        <w:rPr>
          <w:rFonts w:ascii="Inter" w:cs="Inter" w:eastAsia="Inter" w:hAnsi="Inter"/>
          <w:b/>
          <w:bCs/>
          <w:color w:val="1F1B16"/>
          <w:sz w:val="21"/>
          <w:szCs w:val="21"/>
        </w:rPr>
        <w:t xml:space="preserve">heavy potassium and nitrogen feeder</w:t>
      </w:r>
      <w:r>
        <w:rPr>
          <w:rFonts w:ascii="Inter" w:cs="Inter" w:eastAsia="Inter" w:hAnsi="Inter"/>
          <w:color w:val="1F1B16"/>
          <w:sz w:val="21"/>
          <w:szCs w:val="21"/>
        </w:rPr>
        <w:t xml:space="preser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Input</w:t>
            </w:r>
          </w:p>
        </w:tc>
        <w:tc>
          <w:tcPr>
            <w:tcW w:type="dxa" w:w="312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Indicative</w:t>
            </w:r>
          </w:p>
        </w:tc>
        <w:tc>
          <w:tcPr>
            <w:tcW w:type="dxa" w:w="312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Purpose</w:t>
            </w:r>
          </w:p>
        </w:tc>
      </w:tr>
      <w:tr>
        <w:trPr>
          <w:tblHeader w:val="false"/>
        </w:trPr>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Manure/compost</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Heavy at planting + topped up</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Organic matter, slow nutrients</w:t>
            </w:r>
          </w:p>
        </w:tc>
      </w:tr>
      <w:tr>
        <w:trPr>
          <w:tblHeader w:val="false"/>
        </w:trPr>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Nitrogen (UREA/CAN)</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split through the year</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Canopy and growth</w:t>
            </w:r>
          </w:p>
        </w:tc>
      </w:tr>
      <w:tr>
        <w:trPr>
          <w:tblHeader w:val="false"/>
        </w:trPr>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Potassium (MOP)</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regular</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Bunch size and quality (critical)</w:t>
            </w:r>
          </w:p>
        </w:tc>
      </w:tr>
      <w:tr>
        <w:trPr>
          <w:tblHeader w:val="false"/>
        </w:trPr>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Mulch</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thick, continuous</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Moisture, weed control, recycles K</w:t>
            </w:r>
          </w:p>
        </w:tc>
      </w:tr>
    </w:tbl>
    <w:p>
      <w:pPr>
        <w:spacing w:after="120"/>
      </w:pPr>
      <w:r>
        <w:rPr>
          <w:sz w:val="2"/>
          <w:szCs w:val="2"/>
        </w:rPr>
        <w:t xml:space="preserve"/>
      </w:r>
    </w:p>
    <w:p>
      <w:pPr>
        <w:spacing w:after="120"/>
      </w:pPr>
      <w:r>
        <w:rPr>
          <w:rFonts w:ascii="Inter" w:cs="Inter" w:eastAsia="Inter" w:hAnsi="Inter"/>
          <w:color w:val="1F1B16"/>
          <w:sz w:val="21"/>
          <w:szCs w:val="21"/>
        </w:rPr>
        <w:t xml:space="preserve">Returning chopped residues and mulch recycles large amounts of potassium and is central to sustained yield.</w:t>
      </w:r>
    </w:p>
    <w:p>
      <w:pPr>
        <w:pStyle w:val="Heading1"/>
        <w:spacing w:after="90" w:before="240"/>
      </w:pPr>
      <w:bookmarkStart w:name="sec7" w:id="1"/>
      <w:r>
        <w:rPr>
          <w:rFonts w:ascii="Inter" w:cs="Inter" w:eastAsia="Inter" w:hAnsi="Inter"/>
          <w:b/>
          <w:bCs/>
          <w:color w:val="1F6F3D"/>
          <w:sz w:val="28"/>
          <w:szCs w:val="28"/>
        </w:rPr>
        <w:t xml:space="preserve">8. Water, mulch &amp; moisture</w:t>
      </w:r>
      <w:bookmarkEnd w:id="1"/>
    </w:p>
    <w:p>
      <w:pPr>
        <w:pBdr>
          <w:bottom w:val="single" w:color="E8A33A" w:sz="10" w:space="1"/>
        </w:pBdr>
        <w:spacing w:after="120" w:before="0"/>
      </w:pPr>
      <w:r>
        <w:rPr>
          <w:sz w:val="2"/>
          <w:szCs w:val="2"/>
        </w:rPr>
        <w:t xml:space="preserve"/>
      </w:r>
    </w:p>
    <w:p>
      <w:pPr>
        <w:spacing w:after="120"/>
      </w:pPr>
      <w:r>
        <w:rPr>
          <w:rFonts w:ascii="Inter" w:cs="Inter" w:eastAsia="Inter" w:hAnsi="Inter"/>
          <w:color w:val="1F1B16"/>
          <w:sz w:val="21"/>
          <w:szCs w:val="21"/>
        </w:rPr>
        <w:t xml:space="preserve">Banana needs steady moisture; </w:t>
      </w:r>
      <w:r>
        <w:rPr>
          <w:rFonts w:ascii="Inter" w:cs="Inter" w:eastAsia="Inter" w:hAnsi="Inter"/>
          <w:b/>
          <w:bCs/>
          <w:color w:val="1F1B16"/>
          <w:sz w:val="21"/>
          <w:szCs w:val="21"/>
        </w:rPr>
        <w:t xml:space="preserve">heavy mulching</w:t>
      </w:r>
      <w:r>
        <w:rPr>
          <w:rFonts w:ascii="Inter" w:cs="Inter" w:eastAsia="Inter" w:hAnsi="Inter"/>
          <w:color w:val="1F1B16"/>
          <w:sz w:val="21"/>
          <w:szCs w:val="21"/>
        </w:rPr>
        <w:t xml:space="preserve"> is the smallholder's key tool — it conserves moisture, suppresses weeds, moderates soil temperature and feeds the soil. Irrigate through prolonged dry spells where possible; moisture stress directly shrinks bunches.</w:t>
      </w:r>
    </w:p>
    <w:p>
      <w:pPr>
        <w:pStyle w:val="Heading1"/>
        <w:spacing w:after="90" w:before="240"/>
      </w:pPr>
      <w:bookmarkStart w:name="sec8" w:id="1"/>
      <w:r>
        <w:rPr>
          <w:rFonts w:ascii="Inter" w:cs="Inter" w:eastAsia="Inter" w:hAnsi="Inter"/>
          <w:b/>
          <w:bCs/>
          <w:color w:val="1F6F3D"/>
          <w:sz w:val="28"/>
          <w:szCs w:val="28"/>
        </w:rPr>
        <w:t xml:space="preserve">9. Pest &amp; disease management (BXW is the big one)</w:t>
      </w:r>
      <w:bookmarkEnd w:id="1"/>
    </w:p>
    <w:p>
      <w:pPr>
        <w:pBdr>
          <w:bottom w:val="single" w:color="E8A33A" w:sz="10" w:space="1"/>
        </w:pBdr>
        <w:spacing w:after="120" w:before="0"/>
      </w:pPr>
      <w:r>
        <w:rPr>
          <w:sz w:val="2"/>
          <w:szCs w:val="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Problem</w:t>
            </w:r>
          </w:p>
        </w:tc>
        <w:tc>
          <w:tcPr>
            <w:tcW w:type="dxa" w:w="234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Type</w:t>
            </w:r>
          </w:p>
        </w:tc>
        <w:tc>
          <w:tcPr>
            <w:tcW w:type="dxa" w:w="234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Symptoms</w:t>
            </w:r>
          </w:p>
        </w:tc>
        <w:tc>
          <w:tcPr>
            <w:tcW w:type="dxa" w:w="234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Management</w:t>
            </w:r>
          </w:p>
        </w:tc>
      </w:tr>
      <w:tr>
        <w:trPr>
          <w:tblHeader w:val="false"/>
        </w:trPr>
        <w:tc>
          <w:tcPr>
            <w:tcW w:type="dxa" w:w="234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Banana Xanthomonas Wilt (BXW)</w:t>
            </w:r>
          </w:p>
        </w:tc>
        <w:tc>
          <w:tcPr>
            <w:tcW w:type="dxa" w:w="234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Bacterial</w:t>
            </w:r>
          </w:p>
        </w:tc>
        <w:tc>
          <w:tcPr>
            <w:tcW w:type="dxa" w:w="234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Yellowing/wilting, premature ripening, yellow ooze</w:t>
            </w:r>
          </w:p>
        </w:tc>
        <w:tc>
          <w:tcPr>
            <w:tcW w:type="dxa" w:w="234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b/>
                <w:bCs/>
                <w:color w:val="1F1B16"/>
                <w:sz w:val="18"/>
                <w:szCs w:val="18"/>
              </w:rPr>
              <w:t xml:space="preserve">De-bud with a clean tool</w:t>
            </w:r>
            <w:r>
              <w:rPr>
                <w:rFonts w:ascii="Inter" w:cs="Inter" w:eastAsia="Inter" w:hAnsi="Inter"/>
                <w:color w:val="1F1B16"/>
                <w:sz w:val="18"/>
                <w:szCs w:val="18"/>
              </w:rPr>
              <w:t xml:space="preserve">, remove infected plants, disinfect tools, clean material — the major threat</w:t>
            </w:r>
          </w:p>
        </w:tc>
      </w:tr>
      <w:tr>
        <w:trPr>
          <w:tblHeader w:val="false"/>
        </w:trPr>
        <w:tc>
          <w:tcPr>
            <w:tcW w:type="dxa" w:w="234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Fusarium wilt (Panama, incl. TR4 risk)</w:t>
            </w:r>
          </w:p>
        </w:tc>
        <w:tc>
          <w:tcPr>
            <w:tcW w:type="dxa" w:w="234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Fungal</w:t>
            </w:r>
          </w:p>
        </w:tc>
        <w:tc>
          <w:tcPr>
            <w:tcW w:type="dxa" w:w="234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Yellowing, splitting pseudostem</w:t>
            </w:r>
          </w:p>
        </w:tc>
        <w:tc>
          <w:tcPr>
            <w:tcW w:type="dxa" w:w="234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Resistant varieties, clean material, quarantine vigilance (TR4)</w:t>
            </w:r>
          </w:p>
        </w:tc>
      </w:tr>
      <w:tr>
        <w:trPr>
          <w:tblHeader w:val="false"/>
        </w:trPr>
        <w:tc>
          <w:tcPr>
            <w:tcW w:type="dxa" w:w="234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Banana weevil</w:t>
            </w:r>
          </w:p>
        </w:tc>
        <w:tc>
          <w:tcPr>
            <w:tcW w:type="dxa" w:w="234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Pest</w:t>
            </w:r>
          </w:p>
        </w:tc>
        <w:tc>
          <w:tcPr>
            <w:tcW w:type="dxa" w:w="234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Tunnels in corm, toppling</w:t>
            </w:r>
          </w:p>
        </w:tc>
        <w:tc>
          <w:tcPr>
            <w:tcW w:type="dxa" w:w="234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Clean suckers, trapping, sanitation</w:t>
            </w:r>
          </w:p>
        </w:tc>
      </w:tr>
      <w:tr>
        <w:trPr>
          <w:tblHeader w:val="false"/>
        </w:trPr>
        <w:tc>
          <w:tcPr>
            <w:tcW w:type="dxa" w:w="234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Nematodes</w:t>
            </w:r>
          </w:p>
        </w:tc>
        <w:tc>
          <w:tcPr>
            <w:tcW w:type="dxa" w:w="234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Pest</w:t>
            </w:r>
          </w:p>
        </w:tc>
        <w:tc>
          <w:tcPr>
            <w:tcW w:type="dxa" w:w="234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Root damage, toppling, low yield</w:t>
            </w:r>
          </w:p>
        </w:tc>
        <w:tc>
          <w:tcPr>
            <w:tcW w:type="dxa" w:w="234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TC plantlets, pared suckers, rotation on new land</w:t>
            </w:r>
          </w:p>
        </w:tc>
      </w:tr>
      <w:tr>
        <w:trPr>
          <w:tblHeader w:val="false"/>
        </w:trPr>
        <w:tc>
          <w:tcPr>
            <w:tcW w:type="dxa" w:w="234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Black Sigatoka</w:t>
            </w:r>
          </w:p>
        </w:tc>
        <w:tc>
          <w:tcPr>
            <w:tcW w:type="dxa" w:w="234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Fungal</w:t>
            </w:r>
          </w:p>
        </w:tc>
        <w:tc>
          <w:tcPr>
            <w:tcW w:type="dxa" w:w="234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Leaf streaks/death, small bunches</w:t>
            </w:r>
          </w:p>
        </w:tc>
        <w:tc>
          <w:tcPr>
            <w:tcW w:type="dxa" w:w="234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Deleaf, resistant varieties, fungicide on commercial farms</w:t>
            </w:r>
          </w:p>
        </w:tc>
      </w:tr>
    </w:tbl>
    <w:p>
      <w:pPr>
        <w:spacing w:after="120"/>
      </w:pPr>
      <w:r>
        <w:rPr>
          <w:sz w:val="2"/>
          <w:szCs w:val="2"/>
        </w:rPr>
        <w:t xml:space="preserve"/>
      </w:r>
    </w:p>
    <w:p>
      <w:pPr>
        <w:spacing w:after="120"/>
      </w:pPr>
      <w:r>
        <w:rPr>
          <w:rFonts w:ascii="Inter" w:cs="Inter" w:eastAsia="Inter" w:hAnsi="Inter"/>
          <w:b/>
          <w:bCs/>
          <w:color w:val="1F1B16"/>
          <w:sz w:val="21"/>
          <w:szCs w:val="21"/>
        </w:rPr>
        <w:t xml:space="preserve">Tool hygiene is decisive for BXW</w:t>
      </w:r>
      <w:r>
        <w:rPr>
          <w:rFonts w:ascii="Inter" w:cs="Inter" w:eastAsia="Inter" w:hAnsi="Inter"/>
          <w:color w:val="1F1B16"/>
          <w:sz w:val="21"/>
          <w:szCs w:val="21"/>
        </w:rPr>
        <w:t xml:space="preserve">: a single contaminated knife (often from de-budding) spreads it across a plantation. Disinfect between plants.</w:t>
      </w:r>
    </w:p>
    <w:p>
      <w:pPr>
        <w:pStyle w:val="Heading1"/>
        <w:spacing w:after="90" w:before="240"/>
      </w:pPr>
      <w:bookmarkStart w:name="sec9" w:id="1"/>
      <w:r>
        <w:rPr>
          <w:rFonts w:ascii="Inter" w:cs="Inter" w:eastAsia="Inter" w:hAnsi="Inter"/>
          <w:b/>
          <w:bCs/>
          <w:color w:val="1F6F3D"/>
          <w:sz w:val="28"/>
          <w:szCs w:val="28"/>
        </w:rPr>
        <w:t xml:space="preserve">10. Harvesting &amp; post-harvest</w:t>
      </w:r>
      <w:bookmarkEnd w:id="1"/>
    </w:p>
    <w:p>
      <w:pPr>
        <w:pBdr>
          <w:bottom w:val="single" w:color="E8A33A" w:sz="10" w:space="1"/>
        </w:pBdr>
        <w:spacing w:after="120" w:before="0"/>
      </w:pPr>
      <w:r>
        <w:rPr>
          <w:sz w:val="2"/>
          <w:szCs w:val="2"/>
        </w:rPr>
        <w:t xml:space="preserve"/>
      </w:r>
    </w:p>
    <w:p>
      <w:pPr>
        <w:spacing w:after="120"/>
      </w:pPr>
      <w:r>
        <w:rPr>
          <w:rFonts w:ascii="Inter" w:cs="Inter" w:eastAsia="Inter" w:hAnsi="Inter"/>
          <w:color w:val="1F1B16"/>
          <w:sz w:val="21"/>
          <w:szCs w:val="21"/>
        </w:rPr>
        <w:t xml:space="preserve">Harvest bunches at the right maturity (full, rounded fingers; matooke harvested mature-green). Handle gently — bananas bruise easily. For matooke, speed to market matters (perishable). Dessert bananas for distant/urban markets are cut slightly less mature and ripened on arrival. De-hand, clean and grade for premium and export channels.</w:t>
      </w:r>
    </w:p>
    <w:p>
      <w:pPr>
        <w:pStyle w:val="Heading1"/>
        <w:spacing w:after="90" w:before="240"/>
      </w:pPr>
      <w:bookmarkStart w:name="sec10" w:id="1"/>
      <w:r>
        <w:rPr>
          <w:rFonts w:ascii="Inter" w:cs="Inter" w:eastAsia="Inter" w:hAnsi="Inter"/>
          <w:b/>
          <w:bCs/>
          <w:color w:val="1F6F3D"/>
          <w:sz w:val="28"/>
          <w:szCs w:val="28"/>
        </w:rPr>
        <w:t xml:space="preserve">11. Markets, prices &amp; value addition</w:t>
      </w:r>
      <w:bookmarkEnd w:id="1"/>
    </w:p>
    <w:p>
      <w:pPr>
        <w:pBdr>
          <w:bottom w:val="single" w:color="E8A33A" w:sz="10" w:space="1"/>
        </w:pBdr>
        <w:spacing w:after="120" w:before="0"/>
      </w:pPr>
      <w:r>
        <w:rPr>
          <w:sz w:val="2"/>
          <w:szCs w:val="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Channel</w:t>
            </w:r>
          </w:p>
        </w:tc>
        <w:tc>
          <w:tcPr>
            <w:tcW w:type="dxa" w:w="312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Wants</w:t>
            </w:r>
          </w:p>
        </w:tc>
        <w:tc>
          <w:tcPr>
            <w:tcW w:type="dxa" w:w="312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Notes</w:t>
            </w:r>
          </w:p>
        </w:tc>
      </w:tr>
      <w:tr>
        <w:trPr>
          <w:tblHeader w:val="false"/>
        </w:trPr>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Matooke urban market</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Fresh mature-green cooking bunches</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Massive, year-round (esp. Uganda)</w:t>
            </w:r>
          </w:p>
        </w:tc>
      </w:tr>
      <w:tr>
        <w:trPr>
          <w:tblHeader w:val="false"/>
        </w:trPr>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Dessert fresh / export</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Uniform, graded dessert bananas</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Higher value; quality + cold-chain</w:t>
            </w:r>
          </w:p>
        </w:tc>
      </w:tr>
      <w:tr>
        <w:trPr>
          <w:tblHeader w:val="false"/>
        </w:trPr>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Beer / juice</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Beer bananas</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Strong local/regional demand</w:t>
            </w:r>
          </w:p>
        </w:tc>
      </w:tr>
      <w:tr>
        <w:trPr>
          <w:tblHeader w:val="false"/>
        </w:trPr>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Value addition</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Flour, crisps, wine/juice, fibre</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Captures value, reduces glut losses</w:t>
            </w:r>
          </w:p>
        </w:tc>
      </w:tr>
    </w:tbl>
    <w:p>
      <w:pPr>
        <w:spacing w:after="120"/>
      </w:pPr>
      <w:r>
        <w:rPr>
          <w:sz w:val="2"/>
          <w:szCs w:val="2"/>
        </w:rPr>
        <w:t xml:space="preserve"/>
      </w:r>
    </w:p>
    <w:p>
      <w:pPr>
        <w:spacing w:after="120"/>
      </w:pPr>
      <w:r>
        <w:rPr>
          <w:rFonts w:ascii="Inter" w:cs="Inter" w:eastAsia="Inter" w:hAnsi="Inter"/>
          <w:color w:val="1F1B16"/>
          <w:sz w:val="21"/>
          <w:szCs w:val="21"/>
        </w:rPr>
        <w:t xml:space="preserve">Value addition — </w:t>
      </w:r>
      <w:r>
        <w:rPr>
          <w:rFonts w:ascii="Inter" w:cs="Inter" w:eastAsia="Inter" w:hAnsi="Inter"/>
          <w:b/>
          <w:bCs/>
          <w:color w:val="1F1B16"/>
          <w:sz w:val="21"/>
          <w:szCs w:val="21"/>
        </w:rPr>
        <w:t xml:space="preserve">banana flour, crisps, wine/juice and even fibre</w:t>
      </w:r>
      <w:r>
        <w:rPr>
          <w:rFonts w:ascii="Inter" w:cs="Inter" w:eastAsia="Inter" w:hAnsi="Inter"/>
          <w:color w:val="1F1B16"/>
          <w:sz w:val="21"/>
          <w:szCs w:val="21"/>
        </w:rPr>
        <w:t xml:space="preserve"> — is a growing way to capture more value and absorb gluts. Continuous production gives steady cash; cooperatives help with bulking and value addition.</w:t>
      </w:r>
    </w:p>
    <w:p>
      <w:pPr>
        <w:pStyle w:val="Heading1"/>
        <w:spacing w:after="90" w:before="240"/>
      </w:pPr>
      <w:bookmarkStart w:name="sec11" w:id="1"/>
      <w:r>
        <w:rPr>
          <w:rFonts w:ascii="Inter" w:cs="Inter" w:eastAsia="Inter" w:hAnsi="Inter"/>
          <w:b/>
          <w:bCs/>
          <w:color w:val="1F6F3D"/>
          <w:sz w:val="28"/>
          <w:szCs w:val="28"/>
        </w:rPr>
        <w:t xml:space="preserve">12. The economics — full gross-margin model</w:t>
      </w:r>
      <w:bookmarkEnd w:id="1"/>
    </w:p>
    <w:p>
      <w:pPr>
        <w:pBdr>
          <w:bottom w:val="single" w:color="E8A33A" w:sz="10" w:space="1"/>
        </w:pBdr>
        <w:spacing w:after="120" w:before="0"/>
      </w:pPr>
      <w:r>
        <w:rPr>
          <w:sz w:val="2"/>
          <w:szCs w:val="2"/>
        </w:rPr>
        <w:t xml:space="preserve"/>
      </w:r>
    </w:p>
    <w:p>
      <w:pPr>
        <w:spacing w:after="120"/>
      </w:pPr>
      <w:r>
        <w:rPr>
          <w:rFonts w:ascii="Inter" w:cs="Inter" w:eastAsia="Inter" w:hAnsi="Inter"/>
          <w:i/>
          <w:iCs/>
          <w:color w:val="1F1B16"/>
          <w:sz w:val="21"/>
          <w:szCs w:val="21"/>
        </w:rPr>
        <w:t xml:space="preserve">Indicative, per acre, established plantation (annualised). Update with current local prices.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Item (KES)</w:t>
            </w:r>
          </w:p>
        </w:tc>
        <w:tc>
          <w:tcPr>
            <w:tcW w:type="dxa" w:w="312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Establishment yr</w:t>
            </w:r>
          </w:p>
        </w:tc>
        <w:tc>
          <w:tcPr>
            <w:tcW w:type="dxa" w:w="312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Mature year</w:t>
            </w:r>
          </w:p>
        </w:tc>
      </w:tr>
      <w:tr>
        <w:trPr>
          <w:tblHeader w:val="false"/>
        </w:trPr>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Planting material (TC/suckers)</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35,000</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w:t>
            </w:r>
          </w:p>
        </w:tc>
      </w:tr>
      <w:tr>
        <w:trPr>
          <w:tblHeader w:val="false"/>
        </w:trPr>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Land prep, pits, manure</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45,000</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25,000</w:t>
            </w:r>
          </w:p>
        </w:tc>
      </w:tr>
      <w:tr>
        <w:trPr>
          <w:tblHeader w:val="false"/>
        </w:trPr>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Fertiliser (esp. K)</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20,000</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40,000</w:t>
            </w:r>
          </w:p>
        </w:tc>
      </w:tr>
      <w:tr>
        <w:trPr>
          <w:tblHeader w:val="false"/>
        </w:trPr>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Mulch, weeding, desuckering, propping</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30,000</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40,000</w:t>
            </w:r>
          </w:p>
        </w:tc>
      </w:tr>
      <w:tr>
        <w:trPr>
          <w:tblHeader w:val="false"/>
        </w:trPr>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Crop protection/sanitation</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10,000</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15,000</w:t>
            </w:r>
          </w:p>
        </w:tc>
      </w:tr>
      <w:tr>
        <w:trPr>
          <w:tblHeader w:val="false"/>
        </w:trPr>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Harvest + transport</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10,000</w:t>
            </w:r>
          </w:p>
        </w:tc>
        <w:tc>
          <w:tcPr>
            <w:tcW w:type="dxa" w:w="312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35,000</w:t>
            </w:r>
          </w:p>
        </w:tc>
      </w:tr>
      <w:tr>
        <w:trPr>
          <w:tblHeader w:val="false"/>
        </w:trPr>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b/>
                <w:bCs/>
                <w:color w:val="1F1B16"/>
                <w:sz w:val="18"/>
                <w:szCs w:val="18"/>
              </w:rPr>
              <w:t xml:space="preserve">Cash cost (indicative)</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b/>
                <w:bCs/>
                <w:color w:val="1F1B16"/>
                <w:sz w:val="18"/>
                <w:szCs w:val="18"/>
              </w:rPr>
              <w:t xml:space="preserve">~150,000</w:t>
            </w:r>
          </w:p>
        </w:tc>
        <w:tc>
          <w:tcPr>
            <w:tcW w:type="dxa" w:w="312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b/>
                <w:bCs/>
                <w:color w:val="1F1B16"/>
                <w:sz w:val="18"/>
                <w:szCs w:val="18"/>
              </w:rPr>
              <w:t xml:space="preserve">~155,000</w:t>
            </w:r>
          </w:p>
        </w:tc>
      </w:tr>
    </w:tbl>
    <w:p>
      <w:pPr>
        <w:spacing w:after="120"/>
      </w:pPr>
      <w:r>
        <w:rPr>
          <w:sz w:val="2"/>
          <w:szCs w:val="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tblHeader/>
        </w:trPr>
        <w:tc>
          <w:tcPr>
            <w:tcW w:type="dxa" w:w="1872"/>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Scenario (mature year)</w:t>
            </w:r>
          </w:p>
        </w:tc>
        <w:tc>
          <w:tcPr>
            <w:tcW w:type="dxa" w:w="1872"/>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Yield</w:t>
            </w:r>
          </w:p>
        </w:tc>
        <w:tc>
          <w:tcPr>
            <w:tcW w:type="dxa" w:w="1872"/>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Price</w:t>
            </w:r>
          </w:p>
        </w:tc>
        <w:tc>
          <w:tcPr>
            <w:tcW w:type="dxa" w:w="1872"/>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Revenue</w:t>
            </w:r>
          </w:p>
        </w:tc>
        <w:tc>
          <w:tcPr>
            <w:tcW w:type="dxa" w:w="1872"/>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Net margin</w:t>
            </w:r>
          </w:p>
        </w:tc>
      </w:tr>
      <w:tr>
        <w:trPr>
          <w:tblHeader w:val="false"/>
        </w:trPr>
        <w:tc>
          <w:tcPr>
            <w:tcW w:type="dxa" w:w="1872"/>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Worst (BXW/neglect)</w:t>
            </w:r>
          </w:p>
        </w:tc>
        <w:tc>
          <w:tcPr>
            <w:tcW w:type="dxa" w:w="1872"/>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8 t</w:t>
            </w:r>
          </w:p>
        </w:tc>
        <w:tc>
          <w:tcPr>
            <w:tcW w:type="dxa" w:w="1872"/>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low</w:t>
            </w:r>
          </w:p>
        </w:tc>
        <w:tc>
          <w:tcPr>
            <w:tcW w:type="dxa" w:w="1872"/>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~160,000</w:t>
            </w:r>
          </w:p>
        </w:tc>
        <w:tc>
          <w:tcPr>
            <w:tcW w:type="dxa" w:w="1872"/>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b/>
                <w:bCs/>
                <w:color w:val="1F1B16"/>
                <w:sz w:val="18"/>
                <w:szCs w:val="18"/>
              </w:rPr>
              <w:t xml:space="preserve">~5,000</w:t>
            </w:r>
          </w:p>
        </w:tc>
      </w:tr>
      <w:tr>
        <w:trPr>
          <w:tblHeader w:val="false"/>
        </w:trPr>
        <w:tc>
          <w:tcPr>
            <w:tcW w:type="dxa" w:w="1872"/>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Base (good mgmt)</w:t>
            </w:r>
          </w:p>
        </w:tc>
        <w:tc>
          <w:tcPr>
            <w:tcW w:type="dxa" w:w="1872"/>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16 t</w:t>
            </w:r>
          </w:p>
        </w:tc>
        <w:tc>
          <w:tcPr>
            <w:tcW w:type="dxa" w:w="1872"/>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mid</w:t>
            </w:r>
          </w:p>
        </w:tc>
        <w:tc>
          <w:tcPr>
            <w:tcW w:type="dxa" w:w="1872"/>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~480,000</w:t>
            </w:r>
          </w:p>
        </w:tc>
        <w:tc>
          <w:tcPr>
            <w:tcW w:type="dxa" w:w="1872"/>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b/>
                <w:bCs/>
                <w:color w:val="1F1B16"/>
                <w:sz w:val="18"/>
                <w:szCs w:val="18"/>
              </w:rPr>
              <w:t xml:space="preserve">~325,000</w:t>
            </w:r>
          </w:p>
        </w:tc>
      </w:tr>
      <w:tr>
        <w:trPr>
          <w:tblHeader w:val="false"/>
        </w:trPr>
        <w:tc>
          <w:tcPr>
            <w:tcW w:type="dxa" w:w="1872"/>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Best (high mgmt + value-add)</w:t>
            </w:r>
          </w:p>
        </w:tc>
        <w:tc>
          <w:tcPr>
            <w:tcW w:type="dxa" w:w="1872"/>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22 t</w:t>
            </w:r>
          </w:p>
        </w:tc>
        <w:tc>
          <w:tcPr>
            <w:tcW w:type="dxa" w:w="1872"/>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high</w:t>
            </w:r>
          </w:p>
        </w:tc>
        <w:tc>
          <w:tcPr>
            <w:tcW w:type="dxa" w:w="1872"/>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~700,000+</w:t>
            </w:r>
          </w:p>
        </w:tc>
        <w:tc>
          <w:tcPr>
            <w:tcW w:type="dxa" w:w="1872"/>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b/>
                <w:bCs/>
                <w:color w:val="1F1B16"/>
                <w:sz w:val="18"/>
                <w:szCs w:val="18"/>
              </w:rPr>
              <w:t xml:space="preserve">~545,000+</w:t>
            </w:r>
          </w:p>
        </w:tc>
      </w:tr>
    </w:tbl>
    <w:p>
      <w:pPr>
        <w:spacing w:after="120"/>
      </w:pPr>
      <w:r>
        <w:rPr>
          <w:sz w:val="2"/>
          <w:szCs w:val="2"/>
        </w:rPr>
        <w:t xml:space="preserve"/>
      </w:r>
    </w:p>
    <w:p>
      <w:pPr>
        <w:spacing w:after="120"/>
      </w:pPr>
      <w:r>
        <w:rPr>
          <w:rFonts w:ascii="Inter" w:cs="Inter" w:eastAsia="Inter" w:hAnsi="Inter"/>
          <w:color w:val="1F1B16"/>
          <w:sz w:val="21"/>
          <w:szCs w:val="21"/>
        </w:rPr>
        <w:t xml:space="preserve">A healthy plantation pays back establishment within a couple of years, then yields </w:t>
      </w:r>
      <w:r>
        <w:rPr>
          <w:rFonts w:ascii="Inter" w:cs="Inter" w:eastAsia="Inter" w:hAnsi="Inter"/>
          <w:b/>
          <w:bCs/>
          <w:color w:val="1F1B16"/>
          <w:sz w:val="21"/>
          <w:szCs w:val="21"/>
        </w:rPr>
        <w:t xml:space="preserve">continuous income for many years</w:t>
      </w:r>
      <w:r>
        <w:rPr>
          <w:rFonts w:ascii="Inter" w:cs="Inter" w:eastAsia="Inter" w:hAnsi="Inter"/>
          <w:color w:val="1F1B16"/>
          <w:sz w:val="21"/>
          <w:szCs w:val="21"/>
        </w:rPr>
        <w:t xml:space="preserve"> — its core attraction.</w:t>
      </w:r>
    </w:p>
    <w:p>
      <w:pPr>
        <w:pStyle w:val="Heading1"/>
        <w:spacing w:after="90" w:before="240"/>
      </w:pPr>
      <w:bookmarkStart w:name="sec12" w:id="1"/>
      <w:r>
        <w:rPr>
          <w:rFonts w:ascii="Inter" w:cs="Inter" w:eastAsia="Inter" w:hAnsi="Inter"/>
          <w:b/>
          <w:bCs/>
          <w:color w:val="1F6F3D"/>
          <w:sz w:val="28"/>
          <w:szCs w:val="28"/>
        </w:rPr>
        <w:t xml:space="preserve">13. Common mistakes that destroy banana profit</w:t>
      </w:r>
      <w:bookmarkEnd w:id="1"/>
    </w:p>
    <w:p>
      <w:pPr>
        <w:pBdr>
          <w:bottom w:val="single" w:color="E8A33A" w:sz="10" w:space="1"/>
        </w:pBdr>
        <w:spacing w:after="120" w:before="0"/>
      </w:pPr>
      <w:r>
        <w:rPr>
          <w:sz w:val="2"/>
          <w:szCs w:val="2"/>
        </w:rPr>
        <w:t xml:space="preserve"/>
      </w:r>
    </w:p>
    <w:p>
      <w:pPr>
        <w:pStyle w:val="ListParagraph"/>
        <w:numPr>
          <w:ilvl w:val="0"/>
          <w:numId w:val="2"/>
        </w:numPr>
        <w:spacing w:after="40"/>
      </w:pPr>
      <w:r>
        <w:rPr>
          <w:rFonts w:ascii="Inter" w:cs="Inter" w:eastAsia="Inter" w:hAnsi="Inter"/>
          <w:b/>
          <w:bCs/>
          <w:color w:val="1F1B16"/>
          <w:sz w:val="21"/>
          <w:szCs w:val="21"/>
        </w:rPr>
        <w:t xml:space="preserve">Dirty planting material / infected suckers</w:t>
      </w:r>
      <w:r>
        <w:rPr>
          <w:rFonts w:ascii="Inter" w:cs="Inter" w:eastAsia="Inter" w:hAnsi="Inter"/>
          <w:color w:val="1F1B16"/>
          <w:sz w:val="21"/>
          <w:szCs w:val="21"/>
        </w:rPr>
        <w:t xml:space="preserve"> → nematodes, weevils, disease.</w:t>
      </w:r>
    </w:p>
    <w:p>
      <w:pPr>
        <w:pStyle w:val="ListParagraph"/>
        <w:numPr>
          <w:ilvl w:val="0"/>
          <w:numId w:val="2"/>
        </w:numPr>
        <w:spacing w:after="40"/>
      </w:pPr>
      <w:r>
        <w:rPr>
          <w:rFonts w:ascii="Inter" w:cs="Inter" w:eastAsia="Inter" w:hAnsi="Inter"/>
          <w:b/>
          <w:bCs/>
          <w:color w:val="1F1B16"/>
          <w:sz w:val="21"/>
          <w:szCs w:val="21"/>
        </w:rPr>
        <w:t xml:space="preserve">Spreading BXW with un-disinfected tools</w:t>
      </w:r>
      <w:r>
        <w:rPr>
          <w:rFonts w:ascii="Inter" w:cs="Inter" w:eastAsia="Inter" w:hAnsi="Inter"/>
          <w:color w:val="1F1B16"/>
          <w:sz w:val="21"/>
          <w:szCs w:val="21"/>
        </w:rPr>
        <w:t xml:space="preserve"> (especially de-budding).</w:t>
      </w:r>
    </w:p>
    <w:p>
      <w:pPr>
        <w:pStyle w:val="ListParagraph"/>
        <w:numPr>
          <w:ilvl w:val="0"/>
          <w:numId w:val="2"/>
        </w:numPr>
        <w:spacing w:after="40"/>
      </w:pPr>
      <w:r>
        <w:rPr>
          <w:rFonts w:ascii="Inter" w:cs="Inter" w:eastAsia="Inter" w:hAnsi="Inter"/>
          <w:b/>
          <w:bCs/>
          <w:color w:val="1F1B16"/>
          <w:sz w:val="21"/>
          <w:szCs w:val="21"/>
        </w:rPr>
        <w:t xml:space="preserve">Starving the crop of potassium and mulch</w:t>
      </w:r>
      <w:r>
        <w:rPr>
          <w:rFonts w:ascii="Inter" w:cs="Inter" w:eastAsia="Inter" w:hAnsi="Inter"/>
          <w:color w:val="1F1B16"/>
          <w:sz w:val="21"/>
          <w:szCs w:val="21"/>
        </w:rPr>
        <w:t xml:space="preserve"> → small bunches.</w:t>
      </w:r>
    </w:p>
    <w:p>
      <w:pPr>
        <w:pStyle w:val="ListParagraph"/>
        <w:numPr>
          <w:ilvl w:val="0"/>
          <w:numId w:val="2"/>
        </w:numPr>
        <w:spacing w:after="40"/>
      </w:pPr>
      <w:r>
        <w:rPr>
          <w:rFonts w:ascii="Inter" w:cs="Inter" w:eastAsia="Inter" w:hAnsi="Inter"/>
          <w:b/>
          <w:bCs/>
          <w:color w:val="1F1B16"/>
          <w:sz w:val="21"/>
          <w:szCs w:val="21"/>
        </w:rPr>
        <w:t xml:space="preserve">Letting too many suckers grow per mat</w:t>
      </w:r>
      <w:r>
        <w:rPr>
          <w:rFonts w:ascii="Inter" w:cs="Inter" w:eastAsia="Inter" w:hAnsi="Inter"/>
          <w:color w:val="1F1B16"/>
          <w:sz w:val="21"/>
          <w:szCs w:val="21"/>
        </w:rPr>
        <w:t xml:space="preserve"> → competition, small bunches.</w:t>
      </w:r>
    </w:p>
    <w:p>
      <w:pPr>
        <w:pStyle w:val="ListParagraph"/>
        <w:numPr>
          <w:ilvl w:val="0"/>
          <w:numId w:val="2"/>
        </w:numPr>
        <w:spacing w:after="40"/>
      </w:pPr>
      <w:r>
        <w:rPr>
          <w:rFonts w:ascii="Inter" w:cs="Inter" w:eastAsia="Inter" w:hAnsi="Inter"/>
          <w:b/>
          <w:bCs/>
          <w:color w:val="1F1B16"/>
          <w:sz w:val="21"/>
          <w:szCs w:val="21"/>
        </w:rPr>
        <w:t xml:space="preserve">No quarantine vigilance for Fusarium TR4.</w:t>
      </w:r>
    </w:p>
    <w:p>
      <w:pPr>
        <w:pStyle w:val="Heading1"/>
        <w:spacing w:after="90" w:before="240"/>
      </w:pPr>
      <w:bookmarkStart w:name="sec13" w:id="1"/>
      <w:r>
        <w:rPr>
          <w:rFonts w:ascii="Inter" w:cs="Inter" w:eastAsia="Inter" w:hAnsi="Inter"/>
          <w:b/>
          <w:bCs/>
          <w:color w:val="1F6F3D"/>
          <w:sz w:val="28"/>
          <w:szCs w:val="28"/>
        </w:rPr>
        <w:t xml:space="preserve">14. Risk management matrix</w:t>
      </w:r>
      <w:bookmarkEnd w:id="1"/>
    </w:p>
    <w:p>
      <w:pPr>
        <w:pBdr>
          <w:bottom w:val="single" w:color="E8A33A" w:sz="10" w:space="1"/>
        </w:pBdr>
        <w:spacing w:after="120" w:before="0"/>
      </w:pPr>
      <w:r>
        <w:rPr>
          <w:sz w:val="2"/>
          <w:szCs w:val="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Risk</w:t>
            </w:r>
          </w:p>
        </w:tc>
        <w:tc>
          <w:tcPr>
            <w:tcW w:type="dxa" w:w="234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Likelihood</w:t>
            </w:r>
          </w:p>
        </w:tc>
        <w:tc>
          <w:tcPr>
            <w:tcW w:type="dxa" w:w="234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Impact</w:t>
            </w:r>
          </w:p>
        </w:tc>
        <w:tc>
          <w:tcPr>
            <w:tcW w:type="dxa" w:w="2340"/>
            <w:tcBorders>
              <w:top w:val="single" w:color="D8D2C4" w:sz="1"/>
              <w:left w:val="single" w:color="D8D2C4" w:sz="1"/>
              <w:bottom w:val="single" w:color="D8D2C4" w:sz="1"/>
              <w:right w:val="single" w:color="D8D2C4" w:sz="1"/>
            </w:tcBorders>
            <w:shd w:fill="1F6F3D" w:val="clear"/>
            <w:tcMar>
              <w:top w:type="dxa" w:w="60"/>
              <w:left w:type="dxa" w:w="110"/>
              <w:bottom w:type="dxa" w:w="60"/>
              <w:right w:type="dxa" w:w="110"/>
            </w:tcMar>
            <w:vAlign w:val="center"/>
          </w:tcPr>
          <w:p>
            <w:pPr>
              <w:spacing w:after="0"/>
            </w:pPr>
            <w:r>
              <w:rPr>
                <w:rFonts w:ascii="Inter" w:cs="Inter" w:eastAsia="Inter" w:hAnsi="Inter"/>
                <w:b/>
                <w:bCs/>
                <w:color w:val="FFFFFF"/>
                <w:sz w:val="18"/>
                <w:szCs w:val="18"/>
              </w:rPr>
              <w:t xml:space="preserve">Mitigation</w:t>
            </w:r>
          </w:p>
        </w:tc>
      </w:tr>
      <w:tr>
        <w:trPr>
          <w:tblHeader w:val="false"/>
        </w:trPr>
        <w:tc>
          <w:tcPr>
            <w:tcW w:type="dxa" w:w="234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BXW</w:t>
            </w:r>
          </w:p>
        </w:tc>
        <w:tc>
          <w:tcPr>
            <w:tcW w:type="dxa" w:w="234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High</w:t>
            </w:r>
          </w:p>
        </w:tc>
        <w:tc>
          <w:tcPr>
            <w:tcW w:type="dxa" w:w="234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Very high</w:t>
            </w:r>
          </w:p>
        </w:tc>
        <w:tc>
          <w:tcPr>
            <w:tcW w:type="dxa" w:w="234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Clean tools, rogue infected plants, de-bud, clean material</w:t>
            </w:r>
          </w:p>
        </w:tc>
      </w:tr>
      <w:tr>
        <w:trPr>
          <w:tblHeader w:val="false"/>
        </w:trPr>
        <w:tc>
          <w:tcPr>
            <w:tcW w:type="dxa" w:w="234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Nematodes/weevils</w:t>
            </w:r>
          </w:p>
        </w:tc>
        <w:tc>
          <w:tcPr>
            <w:tcW w:type="dxa" w:w="234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High</w:t>
            </w:r>
          </w:p>
        </w:tc>
        <w:tc>
          <w:tcPr>
            <w:tcW w:type="dxa" w:w="234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High</w:t>
            </w:r>
          </w:p>
        </w:tc>
        <w:tc>
          <w:tcPr>
            <w:tcW w:type="dxa" w:w="234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TC plantlets, pared suckers, sanitation</w:t>
            </w:r>
          </w:p>
        </w:tc>
      </w:tr>
      <w:tr>
        <w:trPr>
          <w:tblHeader w:val="false"/>
        </w:trPr>
        <w:tc>
          <w:tcPr>
            <w:tcW w:type="dxa" w:w="234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Fusarium TR4 (emerging)</w:t>
            </w:r>
          </w:p>
        </w:tc>
        <w:tc>
          <w:tcPr>
            <w:tcW w:type="dxa" w:w="234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Low–Med</w:t>
            </w:r>
          </w:p>
        </w:tc>
        <w:tc>
          <w:tcPr>
            <w:tcW w:type="dxa" w:w="234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Very high</w:t>
            </w:r>
          </w:p>
        </w:tc>
        <w:tc>
          <w:tcPr>
            <w:tcW w:type="dxa" w:w="234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Resistant varieties, biosecurity, clean material</w:t>
            </w:r>
          </w:p>
        </w:tc>
      </w:tr>
      <w:tr>
        <w:trPr>
          <w:tblHeader w:val="false"/>
        </w:trPr>
        <w:tc>
          <w:tcPr>
            <w:tcW w:type="dxa" w:w="234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Drought</w:t>
            </w:r>
          </w:p>
        </w:tc>
        <w:tc>
          <w:tcPr>
            <w:tcW w:type="dxa" w:w="234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Medium</w:t>
            </w:r>
          </w:p>
        </w:tc>
        <w:tc>
          <w:tcPr>
            <w:tcW w:type="dxa" w:w="234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Medium</w:t>
            </w:r>
          </w:p>
        </w:tc>
        <w:tc>
          <w:tcPr>
            <w:tcW w:type="dxa" w:w="2340"/>
            <w:tcBorders>
              <w:top w:val="single" w:color="D8D2C4" w:sz="1"/>
              <w:left w:val="single" w:color="D8D2C4" w:sz="1"/>
              <w:bottom w:val="single" w:color="D8D2C4" w:sz="1"/>
              <w:right w:val="single" w:color="D8D2C4" w:sz="1"/>
            </w:tcBorders>
            <w:shd w:fill="FAF6EC"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Heavy mulch, irrigation</w:t>
            </w:r>
          </w:p>
        </w:tc>
      </w:tr>
      <w:tr>
        <w:trPr>
          <w:tblHeader w:val="false"/>
        </w:trPr>
        <w:tc>
          <w:tcPr>
            <w:tcW w:type="dxa" w:w="234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Market glut (perishable)</w:t>
            </w:r>
          </w:p>
        </w:tc>
        <w:tc>
          <w:tcPr>
            <w:tcW w:type="dxa" w:w="234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Medium</w:t>
            </w:r>
          </w:p>
        </w:tc>
        <w:tc>
          <w:tcPr>
            <w:tcW w:type="dxa" w:w="234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Medium</w:t>
            </w:r>
          </w:p>
        </w:tc>
        <w:tc>
          <w:tcPr>
            <w:tcW w:type="dxa" w:w="2340"/>
            <w:tcBorders>
              <w:top w:val="single" w:color="D8D2C4" w:sz="1"/>
              <w:left w:val="single" w:color="D8D2C4" w:sz="1"/>
              <w:bottom w:val="single" w:color="D8D2C4" w:sz="1"/>
              <w:right w:val="single" w:color="D8D2C4" w:sz="1"/>
            </w:tcBorders>
            <w:shd w:fill="FFFFFF" w:val="clear"/>
            <w:tcMar>
              <w:top w:type="dxa" w:w="60"/>
              <w:left w:type="dxa" w:w="110"/>
              <w:bottom w:type="dxa" w:w="60"/>
              <w:right w:type="dxa" w:w="110"/>
            </w:tcMar>
            <w:vAlign w:val="center"/>
          </w:tcPr>
          <w:p>
            <w:pPr>
              <w:spacing w:after="0"/>
            </w:pPr>
            <w:r>
              <w:rPr>
                <w:rFonts w:ascii="Inter" w:cs="Inter" w:eastAsia="Inter" w:hAnsi="Inter"/>
                <w:color w:val="1F1B16"/>
                <w:sz w:val="18"/>
                <w:szCs w:val="18"/>
              </w:rPr>
              <w:t xml:space="preserve">Continuous harvest, value addition, cooperatives</w:t>
            </w:r>
          </w:p>
        </w:tc>
      </w:tr>
    </w:tbl>
    <w:p>
      <w:pPr>
        <w:spacing w:after="120"/>
      </w:pPr>
      <w:r>
        <w:rPr>
          <w:sz w:val="2"/>
          <w:szCs w:val="2"/>
        </w:rPr>
        <w:t xml:space="preserve"/>
      </w:r>
    </w:p>
    <w:p>
      <w:pPr>
        <w:pStyle w:val="Heading1"/>
        <w:spacing w:after="90" w:before="240"/>
      </w:pPr>
      <w:bookmarkStart w:name="sec14" w:id="1"/>
      <w:r>
        <w:rPr>
          <w:rFonts w:ascii="Inter" w:cs="Inter" w:eastAsia="Inter" w:hAnsi="Inter"/>
          <w:b/>
          <w:bCs/>
          <w:color w:val="1F6F3D"/>
          <w:sz w:val="28"/>
          <w:szCs w:val="28"/>
        </w:rPr>
        <w:t xml:space="preserve">15. Your establishment action plan</w:t>
      </w:r>
      <w:bookmarkEnd w:id="1"/>
    </w:p>
    <w:p>
      <w:pPr>
        <w:pBdr>
          <w:bottom w:val="single" w:color="E8A33A" w:sz="10" w:space="1"/>
        </w:pBdr>
        <w:spacing w:after="120" w:before="0"/>
      </w:pPr>
      <w:r>
        <w:rPr>
          <w:sz w:val="2"/>
          <w:szCs w:val="2"/>
        </w:rPr>
        <w:t xml:space="preserve"/>
      </w:r>
    </w:p>
    <w:p>
      <w:pPr>
        <w:pStyle w:val="ListParagraph"/>
        <w:numPr>
          <w:ilvl w:val="0"/>
          <w:numId w:val="3"/>
        </w:numPr>
        <w:spacing w:after="40"/>
      </w:pPr>
      <w:r>
        <w:rPr>
          <w:rFonts w:ascii="Inter" w:cs="Inter" w:eastAsia="Inter" w:hAnsi="Inter"/>
          <w:color w:val="1F1B16"/>
          <w:sz w:val="21"/>
          <w:szCs w:val="21"/>
        </w:rPr>
        <w:t xml:space="preserve">Source </w:t>
      </w:r>
      <w:r>
        <w:rPr>
          <w:rFonts w:ascii="Inter" w:cs="Inter" w:eastAsia="Inter" w:hAnsi="Inter"/>
          <w:b/>
          <w:bCs/>
          <w:color w:val="1F1B16"/>
          <w:sz w:val="21"/>
          <w:szCs w:val="21"/>
        </w:rPr>
        <w:t xml:space="preserve">clean tissue-culture plantlets</w:t>
      </w:r>
      <w:r>
        <w:rPr>
          <w:rFonts w:ascii="Inter" w:cs="Inter" w:eastAsia="Inter" w:hAnsi="Inter"/>
          <w:color w:val="1F1B16"/>
          <w:sz w:val="21"/>
          <w:szCs w:val="21"/>
        </w:rPr>
        <w:t xml:space="preserve"> (or pared suckers from healthy mats).</w:t>
      </w:r>
    </w:p>
    <w:p>
      <w:pPr>
        <w:pStyle w:val="ListParagraph"/>
        <w:numPr>
          <w:ilvl w:val="0"/>
          <w:numId w:val="3"/>
        </w:numPr>
        <w:spacing w:after="40"/>
      </w:pPr>
      <w:r>
        <w:rPr>
          <w:rFonts w:ascii="Inter" w:cs="Inter" w:eastAsia="Inter" w:hAnsi="Inter"/>
          <w:color w:val="1F1B16"/>
          <w:sz w:val="21"/>
          <w:szCs w:val="21"/>
        </w:rPr>
        <w:t xml:space="preserve">Plant at 3×3 m in manured pits; </w:t>
      </w:r>
      <w:r>
        <w:rPr>
          <w:rFonts w:ascii="Inter" w:cs="Inter" w:eastAsia="Inter" w:hAnsi="Inter"/>
          <w:b/>
          <w:bCs/>
          <w:color w:val="1F1B16"/>
          <w:sz w:val="21"/>
          <w:szCs w:val="21"/>
        </w:rPr>
        <w:t xml:space="preserve">mulch heavily</w:t>
      </w:r>
      <w:r>
        <w:rPr>
          <w:rFonts w:ascii="Inter" w:cs="Inter" w:eastAsia="Inter" w:hAnsi="Inter"/>
          <w:color w:val="1F1B16"/>
          <w:sz w:val="21"/>
          <w:szCs w:val="21"/>
        </w:rPr>
        <w:t xml:space="preserve">.</w:t>
      </w:r>
    </w:p>
    <w:p>
      <w:pPr>
        <w:pStyle w:val="ListParagraph"/>
        <w:numPr>
          <w:ilvl w:val="0"/>
          <w:numId w:val="3"/>
        </w:numPr>
        <w:spacing w:after="40"/>
      </w:pPr>
      <w:r>
        <w:rPr>
          <w:rFonts w:ascii="Inter" w:cs="Inter" w:eastAsia="Inter" w:hAnsi="Inter"/>
          <w:color w:val="1F1B16"/>
          <w:sz w:val="21"/>
          <w:szCs w:val="21"/>
        </w:rPr>
        <w:t xml:space="preserve">Manage the mat — keep ~3 plants per stool; desucker.</w:t>
      </w:r>
    </w:p>
    <w:p>
      <w:pPr>
        <w:pStyle w:val="ListParagraph"/>
        <w:numPr>
          <w:ilvl w:val="0"/>
          <w:numId w:val="3"/>
        </w:numPr>
        <w:spacing w:after="40"/>
      </w:pPr>
      <w:r>
        <w:rPr>
          <w:rFonts w:ascii="Inter" w:cs="Inter" w:eastAsia="Inter" w:hAnsi="Inter"/>
          <w:color w:val="1F1B16"/>
          <w:sz w:val="21"/>
          <w:szCs w:val="21"/>
        </w:rPr>
        <w:t xml:space="preserve">Feed potassium + nitrogen regularly; keep mulching.</w:t>
      </w:r>
    </w:p>
    <w:p>
      <w:pPr>
        <w:pStyle w:val="ListParagraph"/>
        <w:numPr>
          <w:ilvl w:val="0"/>
          <w:numId w:val="3"/>
        </w:numPr>
        <w:spacing w:after="40"/>
      </w:pPr>
      <w:r>
        <w:rPr>
          <w:rFonts w:ascii="Inter" w:cs="Inter" w:eastAsia="Inter" w:hAnsi="Inter"/>
          <w:b/>
          <w:bCs/>
          <w:color w:val="1F1B16"/>
          <w:sz w:val="21"/>
          <w:szCs w:val="21"/>
        </w:rPr>
        <w:t xml:space="preserve">Disinfect tools</w:t>
      </w:r>
      <w:r>
        <w:rPr>
          <w:rFonts w:ascii="Inter" w:cs="Inter" w:eastAsia="Inter" w:hAnsi="Inter"/>
          <w:color w:val="1F1B16"/>
          <w:sz w:val="21"/>
          <w:szCs w:val="21"/>
        </w:rPr>
        <w:t xml:space="preserve">; de-bud and rogue any BXW immediately.</w:t>
      </w:r>
    </w:p>
    <w:p>
      <w:pPr>
        <w:pStyle w:val="ListParagraph"/>
        <w:numPr>
          <w:ilvl w:val="0"/>
          <w:numId w:val="3"/>
        </w:numPr>
        <w:spacing w:after="40"/>
      </w:pPr>
      <w:r>
        <w:rPr>
          <w:rFonts w:ascii="Inter" w:cs="Inter" w:eastAsia="Inter" w:hAnsi="Inter"/>
          <w:color w:val="1F1B16"/>
          <w:sz w:val="21"/>
          <w:szCs w:val="21"/>
        </w:rPr>
        <w:t xml:space="preserve">Harvest continuously; explore flour/crisps/juice value addition.</w:t>
      </w:r>
    </w:p>
    <w:p>
      <w:pPr>
        <w:pStyle w:val="Heading1"/>
        <w:spacing w:after="90" w:before="240"/>
      </w:pPr>
      <w:bookmarkStart w:name="sec15" w:id="1"/>
      <w:r>
        <w:rPr>
          <w:rFonts w:ascii="Inter" w:cs="Inter" w:eastAsia="Inter" w:hAnsi="Inter"/>
          <w:b/>
          <w:bCs/>
          <w:color w:val="1F6F3D"/>
          <w:sz w:val="28"/>
          <w:szCs w:val="28"/>
        </w:rPr>
        <w:t xml:space="preserve">16. Frequently asked questions</w:t>
      </w:r>
      <w:bookmarkEnd w:id="1"/>
    </w:p>
    <w:p>
      <w:pPr>
        <w:pBdr>
          <w:bottom w:val="single" w:color="E8A33A" w:sz="10" w:space="1"/>
        </w:pBdr>
        <w:spacing w:after="120" w:before="0"/>
      </w:pPr>
      <w:r>
        <w:rPr>
          <w:sz w:val="2"/>
          <w:szCs w:val="2"/>
        </w:rPr>
        <w:t xml:space="preserve"/>
      </w:r>
    </w:p>
    <w:p>
      <w:pPr>
        <w:spacing w:after="120"/>
      </w:pPr>
      <w:r>
        <w:rPr>
          <w:rFonts w:ascii="Inter" w:cs="Inter" w:eastAsia="Inter" w:hAnsi="Inter"/>
          <w:b/>
          <w:bCs/>
          <w:color w:val="1F1B16"/>
          <w:sz w:val="21"/>
          <w:szCs w:val="21"/>
        </w:rPr>
        <w:t xml:space="preserve">Tissue culture or suckers?</w:t>
      </w:r>
      <w:r>
        <w:rPr>
          <w:rFonts w:ascii="Inter" w:cs="Inter" w:eastAsia="Inter" w:hAnsi="Inter"/>
          <w:color w:val="1F1B16"/>
          <w:sz w:val="21"/>
          <w:szCs w:val="21"/>
        </w:rPr>
        <w:t xml:space="preserve"> TC plantlets are clean, uniform and vigorous — the safer start. If using suckers, take healthy sword suckers and pare/clean them to cut nematodes and weevils.</w:t>
      </w:r>
    </w:p>
    <w:p>
      <w:pPr>
        <w:spacing w:after="120"/>
      </w:pPr>
      <w:r>
        <w:rPr>
          <w:rFonts w:ascii="Inter" w:cs="Inter" w:eastAsia="Inter" w:hAnsi="Inter"/>
          <w:b/>
          <w:bCs/>
          <w:color w:val="1F1B16"/>
          <w:sz w:val="21"/>
          <w:szCs w:val="21"/>
        </w:rPr>
        <w:t xml:space="preserve">What is BXW and how do I stop it?</w:t>
      </w:r>
      <w:r>
        <w:rPr>
          <w:rFonts w:ascii="Inter" w:cs="Inter" w:eastAsia="Inter" w:hAnsi="Inter"/>
          <w:color w:val="1F1B16"/>
          <w:sz w:val="21"/>
          <w:szCs w:val="21"/>
        </w:rPr>
        <w:t xml:space="preserve"> Banana Xanthomonas Wilt — a bacterial disease spread largely by contaminated tools and insects. Remove infected plants, </w:t>
      </w:r>
      <w:r>
        <w:rPr>
          <w:rFonts w:ascii="Inter" w:cs="Inter" w:eastAsia="Inter" w:hAnsi="Inter"/>
          <w:b/>
          <w:bCs/>
          <w:color w:val="1F1B16"/>
          <w:sz w:val="21"/>
          <w:szCs w:val="21"/>
        </w:rPr>
        <w:t xml:space="preserve">disinfect cutting tools between plants</w:t>
      </w:r>
      <w:r>
        <w:rPr>
          <w:rFonts w:ascii="Inter" w:cs="Inter" w:eastAsia="Inter" w:hAnsi="Inter"/>
          <w:color w:val="1F1B16"/>
          <w:sz w:val="21"/>
          <w:szCs w:val="21"/>
        </w:rPr>
        <w:t xml:space="preserve">, de-bud with a clean tool, and use clean material.</w:t>
      </w:r>
    </w:p>
    <w:p>
      <w:pPr>
        <w:spacing w:after="120"/>
      </w:pPr>
      <w:r>
        <w:rPr>
          <w:rFonts w:ascii="Inter" w:cs="Inter" w:eastAsia="Inter" w:hAnsi="Inter"/>
          <w:b/>
          <w:bCs/>
          <w:color w:val="1F1B16"/>
          <w:sz w:val="21"/>
          <w:szCs w:val="21"/>
        </w:rPr>
        <w:t xml:space="preserve">How many plants per mat?</w:t>
      </w:r>
      <w:r>
        <w:rPr>
          <w:rFonts w:ascii="Inter" w:cs="Inter" w:eastAsia="Inter" w:hAnsi="Inter"/>
          <w:color w:val="1F1B16"/>
          <w:sz w:val="21"/>
          <w:szCs w:val="21"/>
        </w:rPr>
        <w:t xml:space="preserve"> Keep about three of staggered age (mother, daughter, granddaughter) for continuous bunching; remove the rest.</w:t>
      </w:r>
    </w:p>
    <w:p>
      <w:pPr>
        <w:spacing w:after="120"/>
      </w:pPr>
      <w:r>
        <w:rPr>
          <w:rFonts w:ascii="Inter" w:cs="Inter" w:eastAsia="Inter" w:hAnsi="Inter"/>
          <w:b/>
          <w:bCs/>
          <w:color w:val="1F1B16"/>
          <w:sz w:val="21"/>
          <w:szCs w:val="21"/>
        </w:rPr>
        <w:t xml:space="preserve">Why are my bunches small?</w:t>
      </w:r>
      <w:r>
        <w:rPr>
          <w:rFonts w:ascii="Inter" w:cs="Inter" w:eastAsia="Inter" w:hAnsi="Inter"/>
          <w:color w:val="1F1B16"/>
          <w:sz w:val="21"/>
          <w:szCs w:val="21"/>
        </w:rPr>
        <w:t xml:space="preserve"> Usually potassium/nutrition deficit, moisture stress, too many suckers, or nematode/weevil damage. Feed K, mulch, desucker, and start clean.</w:t>
      </w:r>
    </w:p>
    <w:p>
      <w:pPr>
        <w:spacing w:after="120"/>
      </w:pPr>
      <w:r>
        <w:rPr>
          <w:rFonts w:ascii="Inter" w:cs="Inter" w:eastAsia="Inter" w:hAnsi="Inter"/>
          <w:b/>
          <w:bCs/>
          <w:color w:val="1F1B16"/>
          <w:sz w:val="21"/>
          <w:szCs w:val="21"/>
        </w:rPr>
        <w:t xml:space="preserve">How soon and how long does it pay?</w:t>
      </w:r>
      <w:r>
        <w:rPr>
          <w:rFonts w:ascii="Inter" w:cs="Inter" w:eastAsia="Inter" w:hAnsi="Inter"/>
          <w:color w:val="1F1B16"/>
          <w:sz w:val="21"/>
          <w:szCs w:val="21"/>
        </w:rPr>
        <w:t xml:space="preserve"> First bunches in ~12–18 months, then continuous harvest for many years from a well-kept plantation.</w:t>
      </w:r>
    </w:p>
    <w:p>
      <w:pPr>
        <w:pBdr>
          <w:bottom w:val="single" w:color="D8D2C4" w:sz="8" w:space="1"/>
        </w:pBdr>
        <w:spacing w:after="120" w:before="60"/>
      </w:pPr>
      <w:r>
        <w:rPr>
          <w:sz w:val="2"/>
          <w:szCs w:val="2"/>
        </w:rPr>
        <w:t xml:space="preserve"/>
      </w:r>
    </w:p>
    <w:p>
      <w:pPr>
        <w:pStyle w:val="Heading2"/>
        <w:spacing w:after="70" w:before="160"/>
      </w:pPr>
      <w:r>
        <w:rPr>
          <w:rFonts w:ascii="Inter" w:cs="Inter" w:eastAsia="Inter" w:hAnsi="Inter"/>
          <w:b/>
          <w:bCs/>
          <w:color w:val="164E2A"/>
          <w:sz w:val="23"/>
          <w:szCs w:val="23"/>
        </w:rPr>
        <w:t xml:space="preserve">About this guide</w:t>
      </w:r>
    </w:p>
    <w:p>
      <w:pPr>
        <w:spacing w:after="120"/>
      </w:pPr>
      <w:r>
        <w:rPr>
          <w:rFonts w:ascii="Inter" w:cs="Inter" w:eastAsia="Inter" w:hAnsi="Inter"/>
          <w:i/>
          <w:iCs/>
          <w:color w:val="1F1B16"/>
          <w:sz w:val="21"/>
          <w:szCs w:val="21"/>
        </w:rPr>
        <w:t xml:space="preserve">Research by </w:t>
      </w:r>
      <w:r>
        <w:rPr>
          <w:rFonts w:ascii="Inter" w:cs="Inter" w:eastAsia="Inter" w:hAnsi="Inter"/>
          <w:i/>
          <w:iCs/>
          <w:color w:val="1F1B16"/>
          <w:sz w:val="21"/>
          <w:szCs w:val="21"/>
        </w:rPr>
        <w:t xml:space="preserve">AppsValle</w:t>
      </w:r>
      <w:r>
        <w:rPr>
          <w:rFonts w:ascii="Inter" w:cs="Inter" w:eastAsia="Inter" w:hAnsi="Inter"/>
          <w:i/>
          <w:iCs/>
          <w:color w:val="1F1B16"/>
          <w:sz w:val="21"/>
          <w:szCs w:val="21"/>
        </w:rPr>
        <w:t xml:space="preserve"> for </w:t>
      </w:r>
      <w:r>
        <w:rPr>
          <w:rFonts w:ascii="Inter" w:cs="Inter" w:eastAsia="Inter" w:hAnsi="Inter"/>
          <w:i/>
          <w:iCs/>
          <w:color w:val="1F1B16"/>
          <w:sz w:val="21"/>
          <w:szCs w:val="21"/>
        </w:rPr>
        <w:t xml:space="preserve">Kilimokwanza.org</w:t>
      </w:r>
      <w:r>
        <w:rPr>
          <w:rFonts w:ascii="Inter" w:cs="Inter" w:eastAsia="Inter" w:hAnsi="Inter"/>
          <w:i/>
          <w:iCs/>
          <w:color w:val="1F1B16"/>
          <w:sz w:val="21"/>
          <w:szCs w:val="21"/>
        </w:rPr>
        <w:t xml:space="preserve"> — East Africa Crop Value-Chain Series (deep edition). An original AppsValle research compilation. Visit www.kilimokwanza.org.</w:t>
      </w:r>
    </w:p>
    <w:p>
      <w:pPr>
        <w:pBdr>
          <w:top w:val="single" w:color="FAF6EC" w:sz="2" w:space="6"/>
          <w:bottom w:val="single" w:color="FAF6EC" w:sz="2" w:space="6"/>
          <w:left w:val="single" w:color="E8A33A" w:sz="18" w:space="10"/>
        </w:pBdr>
        <w:shd w:fill="FAF6EC" w:val="clear"/>
        <w:spacing w:after="160" w:before="120"/>
      </w:pPr>
      <w:r>
        <w:rPr>
          <w:rFonts w:ascii="Inter" w:cs="Inter" w:eastAsia="Inter" w:hAnsi="Inter"/>
          <w:b/>
          <w:bCs/>
          <w:color w:val="1F1B16"/>
          <w:sz w:val="19"/>
          <w:szCs w:val="19"/>
        </w:rPr>
        <w:t xml:space="preserve">How to read the money sections.</w:t>
      </w:r>
      <w:r>
        <w:rPr>
          <w:rFonts w:ascii="Inter" w:cs="Inter" w:eastAsia="Inter" w:hAnsi="Inter"/>
          <w:color w:val="1F1B16"/>
          <w:sz w:val="19"/>
          <w:szCs w:val="19"/>
        </w:rPr>
        <w:t xml:space="preserve"> All prices, costs and margins are </w:t>
      </w:r>
      <w:r>
        <w:rPr>
          <w:rFonts w:ascii="Inter" w:cs="Inter" w:eastAsia="Inter" w:hAnsi="Inter"/>
          <w:b/>
          <w:bCs/>
          <w:color w:val="1F1B16"/>
          <w:sz w:val="19"/>
          <w:szCs w:val="19"/>
        </w:rPr>
        <w:t xml:space="preserve">indicative planning figures</w:t>
      </w:r>
      <w:r>
        <w:rPr>
          <w:rFonts w:ascii="Inter" w:cs="Inter" w:eastAsia="Inter" w:hAnsi="Inter"/>
          <w:color w:val="1F1B16"/>
          <w:sz w:val="19"/>
          <w:szCs w:val="19"/>
        </w:rPr>
        <w:t xml:space="preserve"> in the stated local currency, based on typical recent ranges. Input costs and farm-gate prices change constantly and differ by district, season and season-to-season weather. </w:t>
      </w:r>
      <w:r>
        <w:rPr>
          <w:rFonts w:ascii="Inter" w:cs="Inter" w:eastAsia="Inter" w:hAnsi="Inter"/>
          <w:b/>
          <w:bCs/>
          <w:color w:val="1F1B16"/>
          <w:sz w:val="19"/>
          <w:szCs w:val="19"/>
        </w:rPr>
        <w:t xml:space="preserve">Replace every figure with current local market data before you invest.</w:t>
      </w:r>
      <w:r>
        <w:rPr>
          <w:rFonts w:ascii="Inter" w:cs="Inter" w:eastAsia="Inter" w:hAnsi="Inter"/>
          <w:color w:val="1F1B16"/>
          <w:sz w:val="19"/>
          <w:szCs w:val="19"/>
        </w:rPr>
        <w:t xml:space="preserve"> Yield figures assume good agronomy, clean/certified planting material and the recommended variety; your result will vary with weather, soil and management. This is general educational information, not site-specific agronomic or financial advice — confirm with your national research and extension service (KALRO, TARI, NARO, RAB, ISABU, MAFS, EIAR) and a qualified agronomist before committing land or money.</w:t>
      </w:r>
    </w:p>
    <w:sectPr>
      <w:headerReference w:type="default" r:id="rId7"/>
      <w:headerReference w:type="first" r:id="rId8"/>
      <w:footerReference w:type="default" r:id="rId9"/>
      <w:footerReference w:type="first" r:id="rId10"/>
      <w:pgSz w:w="12240" w:h="15840" w:orient="portrait"/>
      <w:pgMar w:top="1180" w:right="1440" w:bottom="118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6F3D" w:sz="6" w:space="6"/>
      </w:pBdr>
      <w:tabs>
        <w:tab w:val="right" w:pos="9360"/>
      </w:tabs>
    </w:pPr>
    <w:r>
      <w:rPr>
        <w:rFonts w:ascii="Inter" w:cs="Inter" w:eastAsia="Inter" w:hAnsi="Inter"/>
        <w:color w:val="8A8A8A"/>
        <w:sz w:val="15"/>
        <w:szCs w:val="15"/>
      </w:rPr>
      <w:t xml:space="preserve">Agriculture First. Africa Forward.  ·  kilimokwanza.org</w:t>
    </w:r>
    <w:r>
      <w:rPr>
        <w:rFonts w:ascii="Inter" w:cs="Inter" w:eastAsia="Inter" w:hAnsi="Inter"/>
        <w:color w:val="8A8A8A"/>
        <w:sz w:val="15"/>
        <w:szCs w:val="15"/>
      </w:rPr>
      <w:t xml:space="preserve">	Page </w:t>
    </w:r>
    <w:r>
      <w:rPr>
        <w:rFonts w:ascii="Inter" w:cs="Inter" w:eastAsia="Inter" w:hAnsi="Inter"/>
        <w:color w:val="8A8A8A"/>
        <w:sz w:val="15"/>
        <w:szCs w:val="15"/>
      </w:rPr>
      <w:fldChar w:fldCharType="begin"/>
      <w:instrText xml:space="preserve">PAGE</w:instrText>
      <w:fldChar w:fldCharType="separate"/>
      <w:fldChar w:fldCharType="end"/>
    </w:r>
    <w:r>
      <w:rPr>
        <w:rFonts w:ascii="Inter" w:cs="Inter" w:eastAsia="Inter" w:hAnsi="Inter"/>
        <w:color w:val="8A8A8A"/>
        <w:sz w:val="15"/>
        <w:szCs w:val="15"/>
      </w:rPr>
      <w:t xml:space="preserve"> of </w:t>
    </w:r>
    <w:r>
      <w:rPr>
        <w:rFonts w:ascii="Inter" w:cs="Inter" w:eastAsia="Inter" w:hAnsi="Inter"/>
        <w:color w:val="8A8A8A"/>
        <w:sz w:val="15"/>
        <w:szCs w:val="15"/>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Inter" w:cs="Inter" w:eastAsia="Inter" w:hAnsi="Inter"/>
        <w:color w:val="9A9A9A"/>
        <w:sz w:val="15"/>
        <w:szCs w:val="15"/>
      </w:rPr>
      <w:t xml:space="preserve">kilimokwanza.org  ·  Agriculture First. Africa Forward.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6F3D" w:sz="6" w:space="6"/>
      </w:pBdr>
      <w:tabs>
        <w:tab w:val="right" w:pos="9360"/>
      </w:tabs>
    </w:pPr>
    <w:r>
      <w:drawing>
        <wp:inline distT="0" distB="0" distL="0" distR="0">
          <wp:extent cx="179070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790700" cy="295275"/>
                  </a:xfrm>
                  <a:prstGeom prst="rect">
                    <a:avLst/>
                  </a:prstGeom>
                </pic:spPr>
              </pic:pic>
            </a:graphicData>
          </a:graphic>
        </wp:inline>
      </w:drawing>
    </w:r>
    <w:r>
      <w:rPr>
        <w:rFonts w:ascii="Inter" w:cs="Inter" w:eastAsia="Inter" w:hAnsi="Inter"/>
        <w:b/>
        <w:bCs/>
        <w:color w:val="C8861E"/>
        <w:sz w:val="15"/>
        <w:szCs w:val="15"/>
      </w:rPr>
      <w:t xml:space="preserve">	BANANA &amp; MATOOKE FARMING IN EAST AFRICA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20" w:hanging="280"/>
      </w:pPr>
      <w:rPr>
        <w:b/>
        <w:bCs/>
        <w:color w:val="1F6F3D"/>
      </w:rPr>
    </w:lvl>
  </w:abstractNum>
  <w:abstractNum w:abstractNumId="3" w15:restartNumberingAfterBreak="0">
    <w:multiLevelType w:val="hybridMultilevel"/>
    <w:lvl w:ilvl="0" w15:tentative="1">
      <w:start w:val="1"/>
      <w:numFmt w:val="bullet"/>
      <w:lvlText w:val="•"/>
      <w:lvlJc w:val="left"/>
      <w:pPr>
        <w:ind w:left="460" w:hanging="240"/>
      </w:pPr>
      <w:rPr>
        <w:color w:val="E8A33A"/>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F1B16"/>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90" w:before="240"/>
      <w:outlineLvl w:val="0"/>
    </w:pPr>
    <w:rPr>
      <w:rFonts w:ascii="Inter" w:cs="Inter" w:eastAsia="Inter" w:hAnsi="Inter"/>
      <w:b/>
      <w:bCs/>
      <w:color w:val="1F6F3D"/>
      <w:sz w:val="28"/>
      <w:szCs w:val="28"/>
    </w:rPr>
  </w:style>
  <w:style w:type="paragraph" w:styleId="Heading2">
    <w:name w:val="Heading 2"/>
    <w:basedOn w:val="Normal"/>
    <w:next w:val="Normal"/>
    <w:qFormat/>
    <w:pPr>
      <w:spacing w:after="70" w:before="160"/>
      <w:outlineLvl w:val="1"/>
    </w:pPr>
    <w:rPr>
      <w:rFonts w:ascii="Inter" w:cs="Inter" w:eastAsia="Inter" w:hAnsi="Inter"/>
      <w:b/>
      <w:bCs/>
      <w:color w:val="164E2A"/>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b0f89071b660d48071cafcd5f37857f7f606d05b.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366c9a605509f43cb0e2b8a629abd57e7f19d0f.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Banana &amp; Matooke Farming in East Africa — Value-Chain &amp; Profit Guide</dc:title>
  <dc:creator>AppsValle for Kilimokwanza.org</dc:creator>
  <cp:lastModifiedBy>Un-named</cp:lastModifiedBy>
  <cp:revision>1</cp:revision>
  <dcterms:created xsi:type="dcterms:W3CDTF">2026-06-08T10:20:24.680Z</dcterms:created>
  <dcterms:modified xsi:type="dcterms:W3CDTF">2026-06-08T10:20:24.681Z</dcterms:modified>
</cp:coreProperties>
</file>

<file path=docProps/custom.xml><?xml version="1.0" encoding="utf-8"?>
<Properties xmlns="http://schemas.openxmlformats.org/officeDocument/2006/custom-properties" xmlns:vt="http://schemas.openxmlformats.org/officeDocument/2006/docPropsVTypes"/>
</file>